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640" w:firstLineChars="200"/>
        <w:rPr>
          <w:rFonts w:ascii="Times New Roman" w:hAnsi="Times New Roman" w:eastAsia="仿宋_GB2312"/>
          <w:sz w:val="32"/>
          <w:szCs w:val="32"/>
        </w:rPr>
      </w:pPr>
    </w:p>
    <w:p>
      <w:pPr>
        <w:spacing w:line="578" w:lineRule="exact"/>
        <w:ind w:firstLine="640" w:firstLineChars="200"/>
        <w:rPr>
          <w:rFonts w:ascii="Times New Roman" w:hAnsi="Times New Roman" w:eastAsia="仿宋_GB2312"/>
          <w:sz w:val="32"/>
          <w:szCs w:val="32"/>
        </w:rPr>
      </w:pP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附件</w:t>
      </w:r>
    </w:p>
    <w:p>
      <w:pPr>
        <w:overflowPunct w:val="0"/>
        <w:spacing w:before="288" w:beforeLines="120" w:line="600" w:lineRule="exact"/>
        <w:jc w:val="center"/>
        <w:textAlignment w:val="center"/>
        <w:rPr>
          <w:rFonts w:hint="eastAsia" w:ascii="方正小标宋_GBK" w:hAnsi="Times New Roman" w:eastAsia="方正小标宋_GBK"/>
          <w:sz w:val="38"/>
          <w:szCs w:val="38"/>
          <w:lang w:eastAsia="zh-CN"/>
        </w:rPr>
      </w:pPr>
      <w:r>
        <w:rPr>
          <w:rFonts w:hint="eastAsia" w:ascii="方正小标宋_GBK" w:hAnsi="Times New Roman" w:eastAsia="方正小标宋_GBK"/>
          <w:sz w:val="38"/>
          <w:szCs w:val="38"/>
        </w:rPr>
        <w:t>湖北省市政工程绿色施工示范项目评价办法</w:t>
      </w:r>
    </w:p>
    <w:p>
      <w:pPr>
        <w:overflowPunct w:val="0"/>
        <w:spacing w:before="288" w:beforeLines="120" w:line="600" w:lineRule="exact"/>
        <w:jc w:val="center"/>
        <w:textAlignment w:val="center"/>
        <w:rPr>
          <w:rFonts w:ascii="方正小标宋_GBK" w:hAnsi="Times New Roman" w:eastAsia="方正小标宋_GBK"/>
          <w:sz w:val="38"/>
          <w:szCs w:val="38"/>
        </w:rPr>
      </w:pPr>
      <w:r>
        <w:rPr>
          <w:rFonts w:hint="eastAsia" w:ascii="方正小标宋_GBK" w:hAnsi="Times New Roman" w:eastAsia="方正小标宋_GBK"/>
          <w:sz w:val="38"/>
          <w:szCs w:val="38"/>
        </w:rPr>
        <w:t>（试行）</w:t>
      </w:r>
    </w:p>
    <w:p>
      <w:pPr>
        <w:overflowPunct w:val="0"/>
        <w:spacing w:before="360" w:beforeLines="150" w:after="360" w:afterLines="150" w:line="579" w:lineRule="exact"/>
        <w:jc w:val="center"/>
        <w:textAlignment w:val="center"/>
        <w:rPr>
          <w:rFonts w:ascii="黑体" w:hAnsi="黑体" w:eastAsia="黑体"/>
          <w:sz w:val="32"/>
          <w:szCs w:val="32"/>
        </w:rPr>
      </w:pPr>
      <w:r>
        <w:rPr>
          <w:rFonts w:hint="eastAsia" w:ascii="黑体" w:hAnsi="黑体" w:eastAsia="黑体"/>
          <w:sz w:val="32"/>
          <w:szCs w:val="32"/>
        </w:rPr>
        <w:t>第一章　总　　则</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第一条　</w:t>
      </w:r>
      <w:r>
        <w:rPr>
          <w:rFonts w:hint="eastAsia" w:ascii="Times New Roman" w:hAnsi="Times New Roman" w:eastAsia="仿宋_GB2312"/>
          <w:sz w:val="32"/>
          <w:szCs w:val="32"/>
        </w:rPr>
        <w:t>为了贯彻落实创新、协调、绿色、开放、共享的发展理念，推进全省市政行业高质量发展，加强市政工程绿色施工技术的应用和管理，依据住房和城乡建设部《绿色施工导则》、《建筑工程绿色施工评价标准》的要求，结合我省市政行业实际情况，制定本办法。</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第二条　</w:t>
      </w:r>
      <w:r>
        <w:rPr>
          <w:rFonts w:hint="eastAsia" w:ascii="Times New Roman" w:hAnsi="Times New Roman" w:eastAsia="仿宋_GB2312"/>
          <w:sz w:val="32"/>
          <w:szCs w:val="32"/>
        </w:rPr>
        <w:t>本办法所称绿色施工是指工程建设中，在保证质量、安全等基本要求的前提下，通过科学管理和技术进步，最大限度地节约资源与减少对环境负面影响，实现</w:t>
      </w:r>
      <w:r>
        <w:rPr>
          <w:rFonts w:hint="eastAsia" w:ascii="方正书宋_GBK" w:hAnsi="Times New Roman" w:eastAsia="方正书宋_GBK"/>
          <w:sz w:val="32"/>
          <w:szCs w:val="32"/>
        </w:rPr>
        <w:t>“</w:t>
      </w:r>
      <w:r>
        <w:rPr>
          <w:rFonts w:hint="eastAsia" w:ascii="Times New Roman" w:hAnsi="Times New Roman" w:eastAsia="仿宋_GB2312"/>
          <w:sz w:val="32"/>
          <w:szCs w:val="32"/>
        </w:rPr>
        <w:t>四节一环保</w:t>
      </w:r>
      <w:r>
        <w:rPr>
          <w:rFonts w:hint="eastAsia" w:ascii="方正书宋_GBK" w:hAnsi="Times New Roman" w:eastAsia="方正书宋_GBK"/>
          <w:sz w:val="32"/>
          <w:szCs w:val="32"/>
        </w:rPr>
        <w:t>”</w:t>
      </w:r>
      <w:r>
        <w:rPr>
          <w:rFonts w:hint="eastAsia" w:ascii="Times New Roman" w:hAnsi="Times New Roman" w:eastAsia="仿宋_GB2312"/>
          <w:sz w:val="32"/>
          <w:szCs w:val="32"/>
        </w:rPr>
        <w:t>（节能、节材、节水、节地和环境保护）的施工活动。</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第三条　</w:t>
      </w:r>
      <w:r>
        <w:rPr>
          <w:rFonts w:hint="eastAsia" w:ascii="Times New Roman" w:hAnsi="Times New Roman" w:eastAsia="仿宋_GB2312"/>
          <w:sz w:val="32"/>
          <w:szCs w:val="32"/>
        </w:rPr>
        <w:t>湖北省市政工程绿色施工示范项目评价结果按绿色施工水平评价高低分为优秀、合格和不合格三个等级，分别授予</w:t>
      </w:r>
      <w:r>
        <w:rPr>
          <w:rFonts w:hint="eastAsia" w:ascii="方正书宋_GBK" w:hAnsi="Times New Roman" w:eastAsia="方正书宋_GBK"/>
          <w:sz w:val="32"/>
          <w:szCs w:val="32"/>
        </w:rPr>
        <w:t>“</w:t>
      </w:r>
      <w:r>
        <w:rPr>
          <w:rFonts w:hint="eastAsia" w:ascii="Times New Roman" w:hAnsi="Times New Roman" w:eastAsia="仿宋_GB2312"/>
          <w:sz w:val="32"/>
          <w:szCs w:val="32"/>
        </w:rPr>
        <w:t>绿色施工优秀示范项目</w:t>
      </w:r>
      <w:r>
        <w:rPr>
          <w:rFonts w:hint="eastAsia" w:ascii="方正书宋_GBK" w:hAnsi="Times New Roman" w:eastAsia="方正书宋_GBK"/>
          <w:sz w:val="32"/>
          <w:szCs w:val="32"/>
        </w:rPr>
        <w:t>”</w:t>
      </w:r>
      <w:r>
        <w:rPr>
          <w:rFonts w:hint="eastAsia" w:ascii="Times New Roman" w:hAnsi="Times New Roman" w:eastAsia="仿宋_GB2312"/>
          <w:sz w:val="32"/>
          <w:szCs w:val="32"/>
        </w:rPr>
        <w:t>或</w:t>
      </w:r>
      <w:r>
        <w:rPr>
          <w:rFonts w:hint="eastAsia" w:ascii="方正书宋_GBK" w:hAnsi="Times New Roman" w:eastAsia="方正书宋_GBK"/>
          <w:sz w:val="32"/>
          <w:szCs w:val="32"/>
        </w:rPr>
        <w:t>“</w:t>
      </w:r>
      <w:r>
        <w:rPr>
          <w:rFonts w:hint="eastAsia" w:ascii="Times New Roman" w:hAnsi="Times New Roman" w:eastAsia="仿宋_GB2312"/>
          <w:sz w:val="32"/>
          <w:szCs w:val="32"/>
        </w:rPr>
        <w:t>绿色施工示范项目</w:t>
      </w:r>
      <w:r>
        <w:rPr>
          <w:rFonts w:hint="eastAsia" w:ascii="方正书宋_GBK" w:hAnsi="Times New Roman" w:eastAsia="方正书宋_GBK"/>
          <w:sz w:val="32"/>
          <w:szCs w:val="32"/>
        </w:rPr>
        <w:t>”</w:t>
      </w:r>
      <w:r>
        <w:rPr>
          <w:rFonts w:hint="eastAsia" w:ascii="Times New Roman" w:hAnsi="Times New Roman" w:eastAsia="仿宋_GB2312"/>
          <w:sz w:val="32"/>
          <w:szCs w:val="32"/>
        </w:rPr>
        <w:t>的荣誉证书。</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第四条　</w:t>
      </w:r>
      <w:r>
        <w:rPr>
          <w:rFonts w:hint="eastAsia" w:ascii="Times New Roman" w:hAnsi="Times New Roman" w:eastAsia="仿宋_GB2312"/>
          <w:sz w:val="32"/>
          <w:szCs w:val="32"/>
        </w:rPr>
        <w:t>市政工程绿色施工示范项目评价工作由湖北省市政工程协会负责，施工技术质量专业委员会（以下简称</w:t>
      </w:r>
      <w:r>
        <w:rPr>
          <w:rFonts w:hint="eastAsia" w:ascii="方正书宋_GBK" w:hAnsi="Times New Roman" w:eastAsia="方正书宋_GBK"/>
          <w:sz w:val="32"/>
          <w:szCs w:val="32"/>
        </w:rPr>
        <w:t>“</w:t>
      </w:r>
      <w:r>
        <w:rPr>
          <w:rFonts w:hint="eastAsia" w:ascii="Times New Roman" w:hAnsi="Times New Roman" w:eastAsia="仿宋_GB2312"/>
          <w:sz w:val="32"/>
          <w:szCs w:val="32"/>
        </w:rPr>
        <w:t>技质委</w:t>
      </w:r>
      <w:r>
        <w:rPr>
          <w:rFonts w:hint="eastAsia" w:ascii="方正书宋_GBK" w:hAnsi="Times New Roman" w:eastAsia="方正书宋_GBK"/>
          <w:sz w:val="32"/>
          <w:szCs w:val="32"/>
        </w:rPr>
        <w:t>”</w:t>
      </w:r>
      <w:r>
        <w:rPr>
          <w:rFonts w:hint="eastAsia" w:ascii="Times New Roman" w:hAnsi="Times New Roman" w:eastAsia="仿宋_GB2312"/>
          <w:sz w:val="32"/>
          <w:szCs w:val="32"/>
        </w:rPr>
        <w:t>）组织实施。</w:t>
      </w:r>
    </w:p>
    <w:p>
      <w:pPr>
        <w:overflowPunct w:val="0"/>
        <w:spacing w:before="360" w:beforeLines="150" w:after="360" w:afterLines="150" w:line="579" w:lineRule="exact"/>
        <w:jc w:val="center"/>
        <w:textAlignment w:val="center"/>
        <w:rPr>
          <w:rFonts w:ascii="黑体" w:hAnsi="黑体" w:eastAsia="黑体"/>
          <w:sz w:val="32"/>
          <w:szCs w:val="32"/>
        </w:rPr>
      </w:pPr>
      <w:r>
        <w:rPr>
          <w:rFonts w:hint="eastAsia" w:ascii="黑体" w:hAnsi="黑体" w:eastAsia="黑体"/>
          <w:sz w:val="32"/>
          <w:szCs w:val="32"/>
        </w:rPr>
        <w:t>第二章 评价范围</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第五条　</w:t>
      </w:r>
      <w:r>
        <w:rPr>
          <w:rFonts w:hint="eastAsia" w:ascii="Times New Roman" w:hAnsi="Times New Roman" w:eastAsia="仿宋_GB2312"/>
          <w:sz w:val="32"/>
          <w:szCs w:val="32"/>
        </w:rPr>
        <w:t>湖北省行政区域内的市政工程建设项目均可申报绿色施工示范项目（以下简称</w:t>
      </w:r>
      <w:r>
        <w:rPr>
          <w:rFonts w:hint="eastAsia" w:ascii="方正书宋_GBK" w:hAnsi="Times New Roman" w:eastAsia="方正书宋_GBK"/>
          <w:sz w:val="32"/>
          <w:szCs w:val="32"/>
        </w:rPr>
        <w:t>“</w:t>
      </w:r>
      <w:r>
        <w:rPr>
          <w:rFonts w:hint="eastAsia" w:ascii="Times New Roman" w:hAnsi="Times New Roman" w:eastAsia="仿宋_GB2312"/>
          <w:sz w:val="32"/>
          <w:szCs w:val="32"/>
        </w:rPr>
        <w:t>示范项目</w:t>
      </w:r>
      <w:r>
        <w:rPr>
          <w:rFonts w:hint="eastAsia" w:ascii="方正书宋_GBK" w:hAnsi="Times New Roman" w:eastAsia="方正书宋_GBK"/>
          <w:sz w:val="32"/>
          <w:szCs w:val="32"/>
        </w:rPr>
        <w:t>”</w:t>
      </w:r>
      <w:r>
        <w:rPr>
          <w:rFonts w:hint="eastAsia" w:ascii="Times New Roman" w:hAnsi="Times New Roman" w:eastAsia="仿宋_GB2312"/>
          <w:sz w:val="32"/>
          <w:szCs w:val="32"/>
        </w:rPr>
        <w:t>）的评价。</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第六条</w:t>
      </w:r>
      <w:r>
        <w:rPr>
          <w:rFonts w:hint="eastAsia" w:ascii="Times New Roman" w:hAnsi="Times New Roman" w:eastAsia="仿宋_GB2312"/>
          <w:sz w:val="32"/>
          <w:szCs w:val="32"/>
        </w:rPr>
        <w:t>　下列工程不列入评价范围：</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（一）不符合国家产业政策，使用国家主管部门以及行业明令禁止使用或者淘汰的材料、技术、工艺和设备的工程；</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（二）由于设计、施工等原因而存在质量、安全隐患、功能性缺陷的工程；</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（三）发生重大违规违纪事件的工程；</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（四）工程建设过程中发生过一般及以上质量安全事故、一般及以上环境污染事故的工程。</w:t>
      </w:r>
    </w:p>
    <w:p>
      <w:pPr>
        <w:overflowPunct w:val="0"/>
        <w:spacing w:before="360" w:beforeLines="150" w:after="360" w:afterLines="150" w:line="579" w:lineRule="exact"/>
        <w:jc w:val="center"/>
        <w:textAlignment w:val="center"/>
        <w:rPr>
          <w:rFonts w:ascii="黑体" w:hAnsi="黑体" w:eastAsia="黑体"/>
          <w:sz w:val="32"/>
          <w:szCs w:val="32"/>
        </w:rPr>
      </w:pPr>
      <w:r>
        <w:rPr>
          <w:rFonts w:hint="eastAsia" w:ascii="黑体" w:hAnsi="黑体" w:eastAsia="黑体"/>
          <w:sz w:val="32"/>
          <w:szCs w:val="32"/>
        </w:rPr>
        <w:t>第三章　申报条件</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第七条</w:t>
      </w:r>
      <w:r>
        <w:rPr>
          <w:rFonts w:hint="eastAsia" w:ascii="Times New Roman" w:hAnsi="Times New Roman" w:eastAsia="仿宋_GB2312"/>
          <w:sz w:val="32"/>
          <w:szCs w:val="32"/>
        </w:rPr>
        <w:t>　申报示范项目评价的工程应当具备下列条件：</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（一）符合国家倡导的建设生态文明、推进绿色发展的政策法规要求；</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（二）建设程序合法合规，建设手续齐全，且具备开展绿色施工的条件与环境；</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（三）工程造价在2000万元以上，已建立绿色施工管理体系，具有工程绿色施工实施策划方案；</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规模达不到以上要求，但是</w:t>
      </w:r>
      <w:r>
        <w:rPr>
          <w:rFonts w:hint="eastAsia" w:ascii="方正书宋_GBK" w:hAnsi="Times New Roman" w:eastAsia="方正书宋_GBK"/>
          <w:sz w:val="32"/>
          <w:szCs w:val="32"/>
        </w:rPr>
        <w:t>“</w:t>
      </w:r>
      <w:r>
        <w:rPr>
          <w:rFonts w:hint="eastAsia" w:ascii="Times New Roman" w:hAnsi="Times New Roman" w:eastAsia="仿宋_GB2312"/>
          <w:sz w:val="32"/>
          <w:szCs w:val="32"/>
        </w:rPr>
        <w:t>四节一环保</w:t>
      </w:r>
      <w:r>
        <w:rPr>
          <w:rFonts w:hint="eastAsia" w:ascii="方正书宋_GBK" w:hAnsi="Times New Roman" w:eastAsia="方正书宋_GBK"/>
          <w:sz w:val="32"/>
          <w:szCs w:val="32"/>
        </w:rPr>
        <w:t>”</w:t>
      </w:r>
      <w:r>
        <w:rPr>
          <w:rFonts w:hint="eastAsia" w:ascii="Times New Roman" w:hAnsi="Times New Roman" w:eastAsia="仿宋_GB2312"/>
          <w:sz w:val="32"/>
          <w:szCs w:val="32"/>
        </w:rPr>
        <w:t>应用效果显著，意义重大的项目，也可以申报。</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（四）申报单位为湖北省市政工程协会会员单位。</w:t>
      </w:r>
    </w:p>
    <w:p>
      <w:pPr>
        <w:overflowPunct w:val="0"/>
        <w:spacing w:before="288" w:beforeLines="120" w:after="288" w:afterLines="120" w:line="579" w:lineRule="exact"/>
        <w:jc w:val="center"/>
        <w:textAlignment w:val="center"/>
        <w:rPr>
          <w:rFonts w:ascii="黑体" w:hAnsi="黑体" w:eastAsia="黑体"/>
          <w:sz w:val="32"/>
          <w:szCs w:val="32"/>
        </w:rPr>
      </w:pPr>
      <w:r>
        <w:rPr>
          <w:rFonts w:hint="eastAsia" w:ascii="黑体" w:hAnsi="黑体" w:eastAsia="黑体"/>
          <w:sz w:val="32"/>
          <w:szCs w:val="32"/>
        </w:rPr>
        <w:t>第四章　申报要求</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第八条</w:t>
      </w:r>
      <w:r>
        <w:rPr>
          <w:rFonts w:hint="eastAsia" w:ascii="Times New Roman" w:hAnsi="Times New Roman" w:eastAsia="仿宋_GB2312"/>
          <w:sz w:val="32"/>
          <w:szCs w:val="32"/>
        </w:rPr>
        <w:t>　申报单位。申报示范项目评价的工程可由建设单位、工程总承包单位或施工单位自愿组织申报。</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第九条</w:t>
      </w:r>
      <w:r>
        <w:rPr>
          <w:rFonts w:hint="eastAsia" w:ascii="Times New Roman" w:hAnsi="Times New Roman" w:eastAsia="仿宋_GB2312"/>
          <w:sz w:val="32"/>
          <w:szCs w:val="32"/>
        </w:rPr>
        <w:t>　申请程序。按立项申请、过程检查、验收评价三阶段进行，并进行动态管理。</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（一）立项申请：在工程进度达到20%以前，由申报单位提出立项申请，填写《立项申请表》（见附录1）和编制绿色施工实施策划方案，经推荐单位推荐，专家小组审查通过。</w:t>
      </w:r>
    </w:p>
    <w:p>
      <w:pPr>
        <w:overflowPunct w:val="0"/>
        <w:spacing w:line="579" w:lineRule="exact"/>
        <w:ind w:firstLine="640" w:firstLineChars="200"/>
        <w:textAlignment w:val="center"/>
        <w:rPr>
          <w:rFonts w:ascii="Times New Roman" w:hAnsi="Times New Roman" w:eastAsia="仿宋_GB2312"/>
          <w:spacing w:val="-6"/>
          <w:sz w:val="32"/>
          <w:szCs w:val="32"/>
        </w:rPr>
      </w:pPr>
      <w:r>
        <w:rPr>
          <w:rFonts w:hint="eastAsia" w:ascii="Times New Roman" w:hAnsi="Times New Roman" w:eastAsia="仿宋_GB2312"/>
          <w:sz w:val="32"/>
          <w:szCs w:val="32"/>
        </w:rPr>
        <w:t>（二）</w:t>
      </w:r>
      <w:r>
        <w:rPr>
          <w:rFonts w:hint="eastAsia" w:ascii="Times New Roman" w:hAnsi="Times New Roman" w:eastAsia="仿宋_GB2312"/>
          <w:spacing w:val="2"/>
          <w:sz w:val="32"/>
          <w:szCs w:val="32"/>
        </w:rPr>
        <w:t>过程检查：当施工进度达到30%</w:t>
      </w:r>
      <w:r>
        <w:rPr>
          <w:rFonts w:hint="eastAsia" w:asciiTheme="minorEastAsia" w:hAnsiTheme="minorEastAsia" w:eastAsiaTheme="minorEastAsia"/>
          <w:spacing w:val="2"/>
          <w:sz w:val="32"/>
          <w:szCs w:val="32"/>
        </w:rPr>
        <w:t>～</w:t>
      </w:r>
      <w:r>
        <w:rPr>
          <w:rFonts w:hint="eastAsia" w:ascii="Times New Roman" w:hAnsi="Times New Roman" w:eastAsia="仿宋_GB2312"/>
          <w:spacing w:val="2"/>
          <w:sz w:val="32"/>
          <w:szCs w:val="32"/>
        </w:rPr>
        <w:t>90%或主体工程完成之前，申报单位提交《过程评价申请表》（见附录2）和《过程评价表》（见附录3）的自评表，专家小组进行现场检查。</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（三）验收评价：当工程在完成立项申请提出的全部内容完成后，申报单位提交《验收评价申请表》（见附录4）、《验收评价表》（见附录5）的自评表及验收评价资料（见附录6），专家小组进行终期评价。</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第十条</w:t>
      </w:r>
      <w:r>
        <w:rPr>
          <w:rFonts w:hint="eastAsia" w:ascii="Times New Roman" w:hAnsi="Times New Roman" w:eastAsia="仿宋_GB2312"/>
          <w:sz w:val="32"/>
          <w:szCs w:val="32"/>
        </w:rPr>
        <w:t>　推荐单位是指工程建设所在地市（州）市政工程协会或省市政工程协会认可的机构，推荐单位依据本办法对申报资料进行检查、审核、签署审核意见。</w:t>
      </w:r>
    </w:p>
    <w:p>
      <w:pPr>
        <w:overflowPunct w:val="0"/>
        <w:spacing w:line="20" w:lineRule="exact"/>
        <w:ind w:firstLine="640" w:firstLineChars="200"/>
        <w:textAlignment w:val="center"/>
        <w:rPr>
          <w:rFonts w:ascii="Times New Roman" w:hAnsi="Times New Roman" w:eastAsia="仿宋_GB2312"/>
          <w:sz w:val="32"/>
          <w:szCs w:val="32"/>
        </w:rPr>
      </w:pPr>
    </w:p>
    <w:p>
      <w:pPr>
        <w:overflowPunct w:val="0"/>
        <w:spacing w:after="288" w:afterLines="120" w:line="579" w:lineRule="exact"/>
        <w:jc w:val="center"/>
        <w:textAlignment w:val="center"/>
        <w:rPr>
          <w:rFonts w:ascii="黑体" w:hAnsi="黑体" w:eastAsia="黑体"/>
          <w:sz w:val="32"/>
          <w:szCs w:val="32"/>
        </w:rPr>
      </w:pPr>
      <w:r>
        <w:rPr>
          <w:rFonts w:hint="eastAsia" w:ascii="黑体" w:hAnsi="黑体" w:eastAsia="黑体"/>
          <w:sz w:val="32"/>
          <w:szCs w:val="32"/>
        </w:rPr>
        <w:t>第五章　评价程序</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第十一条</w:t>
      </w:r>
      <w:r>
        <w:rPr>
          <w:rFonts w:hint="eastAsia" w:ascii="Times New Roman" w:hAnsi="Times New Roman" w:eastAsia="仿宋_GB2312"/>
          <w:sz w:val="32"/>
          <w:szCs w:val="32"/>
        </w:rPr>
        <w:t>　</w:t>
      </w:r>
      <w:r>
        <w:rPr>
          <w:rFonts w:hint="eastAsia" w:ascii="Times New Roman" w:hAnsi="Times New Roman" w:eastAsia="仿宋_GB2312"/>
          <w:spacing w:val="-6"/>
          <w:sz w:val="32"/>
          <w:szCs w:val="32"/>
        </w:rPr>
        <w:t>由技质委按申报工程专业从专家库中随机抽取专家，组建专家评审小组，专家小组由3</w:t>
      </w:r>
      <w:r>
        <w:rPr>
          <w:rFonts w:hint="eastAsia" w:ascii="宋体" w:hAnsi="宋体"/>
          <w:spacing w:val="-6"/>
          <w:sz w:val="32"/>
          <w:szCs w:val="32"/>
        </w:rPr>
        <w:t>～</w:t>
      </w:r>
      <w:r>
        <w:rPr>
          <w:rFonts w:hint="eastAsia" w:ascii="Times New Roman" w:hAnsi="Times New Roman" w:eastAsia="仿宋_GB2312"/>
          <w:spacing w:val="-6"/>
          <w:sz w:val="32"/>
          <w:szCs w:val="32"/>
        </w:rPr>
        <w:t>5人组成。评审专家实行回避制，不得聘请申报示范项目单位的专家作为评审小组成员。</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专家应具有高级技术职称及10年以上的相关工作经验，身体健康。</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第十二条</w:t>
      </w:r>
      <w:r>
        <w:rPr>
          <w:rFonts w:hint="eastAsia" w:ascii="Times New Roman" w:hAnsi="Times New Roman" w:eastAsia="仿宋_GB2312"/>
          <w:sz w:val="32"/>
          <w:szCs w:val="32"/>
        </w:rPr>
        <w:t>　评价程序：</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（一）资料初审：技质委组织专家小组对立项申请资料进行符合性审查。</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（二）现场检查：通过立项的工程，申报单位提出过程评价申请后，专家小组对工程实际实施情况进行现场检查并向技质委提交现场检查意见书。</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（三）终期评价：申报单位提出验收评价申请后，专家小组组织召开评价会议，提交终期评价意见。</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（四）技质委组织召开主任委员会审定终期评价意见，有三分之二及其以上的委员同意的，确定评价结果。</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（五）结果公示在湖北省市政工程协会网站上进行为期七天的公示，公示期间无异议的项目，协会授予荣誉证书。</w:t>
      </w:r>
    </w:p>
    <w:p>
      <w:pPr>
        <w:overflowPunct w:val="0"/>
        <w:spacing w:line="564"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第十三条</w:t>
      </w:r>
      <w:r>
        <w:rPr>
          <w:rFonts w:hint="eastAsia" w:ascii="Times New Roman" w:hAnsi="Times New Roman" w:eastAsia="仿宋_GB2312"/>
          <w:sz w:val="32"/>
          <w:szCs w:val="32"/>
        </w:rPr>
        <w:t>　在示范项目创建过程中，专家小组应加强对申报项目实施情况的过程抽查，原则上每个工程中间现场检查不少于一次，主要抽查批次评价、阶段评价及创建现场绿色施工过程实施情况。</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第十四条</w:t>
      </w:r>
      <w:r>
        <w:rPr>
          <w:rFonts w:hint="eastAsia" w:ascii="Times New Roman" w:hAnsi="Times New Roman" w:eastAsia="仿宋_GB2312"/>
          <w:sz w:val="32"/>
          <w:szCs w:val="32"/>
        </w:rPr>
        <w:t>　已被批准立项的示范项目，有下列情形之一的，不予验收评价：</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（一）发生一般及以上质量安全事故的；</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（二）发生一般及以上环境污染事故的；</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（三）发生传染病、食物中毒等群体事故或违反</w:t>
      </w:r>
      <w:r>
        <w:rPr>
          <w:rFonts w:hint="eastAsia" w:ascii="方正书宋_GBK" w:hAnsi="Times New Roman" w:eastAsia="方正书宋_GBK"/>
          <w:sz w:val="32"/>
          <w:szCs w:val="32"/>
        </w:rPr>
        <w:t>“</w:t>
      </w:r>
      <w:r>
        <w:rPr>
          <w:rFonts w:hint="eastAsia" w:ascii="Times New Roman" w:hAnsi="Times New Roman" w:eastAsia="仿宋_GB2312"/>
          <w:sz w:val="32"/>
          <w:szCs w:val="32"/>
        </w:rPr>
        <w:t>四节一环保</w:t>
      </w:r>
      <w:r>
        <w:rPr>
          <w:rFonts w:hint="eastAsia" w:ascii="方正书宋_GBK" w:hAnsi="Times New Roman" w:eastAsia="方正书宋_GBK"/>
          <w:sz w:val="32"/>
          <w:szCs w:val="32"/>
        </w:rPr>
        <w:t>”</w:t>
      </w:r>
      <w:r>
        <w:rPr>
          <w:rFonts w:hint="eastAsia" w:ascii="Times New Roman" w:hAnsi="Times New Roman" w:eastAsia="仿宋_GB2312"/>
          <w:sz w:val="32"/>
          <w:szCs w:val="32"/>
        </w:rPr>
        <w:t>的法律、法规，造成严重社会影响的；</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（四）在施工过程中，出现使用国家主管部门以及行业明令禁止使用或者淘汰的材料、技术、工艺和设备的；</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（五）</w:t>
      </w:r>
      <w:r>
        <w:rPr>
          <w:rFonts w:hint="eastAsia" w:ascii="Times New Roman" w:hAnsi="Times New Roman" w:eastAsia="仿宋_GB2312"/>
          <w:spacing w:val="-10"/>
          <w:sz w:val="32"/>
          <w:szCs w:val="32"/>
        </w:rPr>
        <w:t>出现违法转包或分包，或者发生重大违规违纪事件的。</w:t>
      </w:r>
    </w:p>
    <w:p>
      <w:pPr>
        <w:overflowPunct w:val="0"/>
        <w:spacing w:before="288" w:beforeLines="120" w:after="288" w:afterLines="120" w:line="579" w:lineRule="exact"/>
        <w:jc w:val="center"/>
        <w:textAlignment w:val="center"/>
        <w:rPr>
          <w:rFonts w:ascii="黑体" w:hAnsi="黑体" w:eastAsia="黑体"/>
          <w:sz w:val="32"/>
          <w:szCs w:val="32"/>
        </w:rPr>
      </w:pPr>
      <w:r>
        <w:rPr>
          <w:rFonts w:hint="eastAsia" w:ascii="黑体" w:hAnsi="黑体" w:eastAsia="黑体"/>
          <w:sz w:val="32"/>
          <w:szCs w:val="32"/>
        </w:rPr>
        <w:t>第六章　激励机制</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第十五条</w:t>
      </w:r>
      <w:r>
        <w:rPr>
          <w:rFonts w:hint="eastAsia" w:ascii="Times New Roman" w:hAnsi="Times New Roman" w:eastAsia="仿宋_GB2312"/>
          <w:sz w:val="32"/>
          <w:szCs w:val="32"/>
        </w:rPr>
        <w:t>　对验收评价通过的工程，授予荣誉证书，并发文通报表彰。在申报湖北省市政示范工程评价的活动时，依据评价条件作为加分项；获得绿色施工优秀示范项目的工程，优先推荐申报国家级绿色施工项目的评价。</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第十六条</w:t>
      </w:r>
      <w:r>
        <w:rPr>
          <w:rFonts w:hint="eastAsia" w:ascii="Times New Roman" w:hAnsi="Times New Roman" w:eastAsia="仿宋_GB2312"/>
          <w:sz w:val="32"/>
          <w:szCs w:val="32"/>
        </w:rPr>
        <w:t>　建设单位应积极支持倡导施工企业开展绿色施工活动，对获得绿色施工优秀示范项目或绿色施工示范项目应给予奖励。</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第十七条</w:t>
      </w:r>
      <w:r>
        <w:rPr>
          <w:rFonts w:hint="eastAsia" w:ascii="Times New Roman" w:hAnsi="Times New Roman" w:eastAsia="仿宋_GB2312"/>
          <w:sz w:val="32"/>
          <w:szCs w:val="32"/>
        </w:rPr>
        <w:t>　施工企业也应建立节能减排激励制度，对于创建省绿色施工示范项目中有突出贡献的项目部和有关人员，应给予相应的奖励。</w:t>
      </w:r>
    </w:p>
    <w:p>
      <w:pPr>
        <w:overflowPunct w:val="0"/>
        <w:spacing w:before="288" w:beforeLines="120" w:after="288" w:afterLines="120" w:line="579" w:lineRule="exact"/>
        <w:jc w:val="center"/>
        <w:textAlignment w:val="center"/>
        <w:rPr>
          <w:rFonts w:ascii="黑体" w:hAnsi="黑体" w:eastAsia="黑体"/>
          <w:sz w:val="32"/>
          <w:szCs w:val="32"/>
        </w:rPr>
      </w:pPr>
      <w:r>
        <w:rPr>
          <w:rFonts w:hint="eastAsia" w:ascii="黑体" w:hAnsi="黑体" w:eastAsia="黑体"/>
          <w:sz w:val="32"/>
          <w:szCs w:val="32"/>
        </w:rPr>
        <w:t>第七章　工作纪律</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第十八条</w:t>
      </w:r>
      <w:r>
        <w:rPr>
          <w:rFonts w:hint="eastAsia" w:ascii="Times New Roman" w:hAnsi="Times New Roman" w:eastAsia="仿宋_GB2312"/>
          <w:sz w:val="32"/>
          <w:szCs w:val="32"/>
        </w:rPr>
        <w:t>　</w:t>
      </w:r>
      <w:r>
        <w:rPr>
          <w:rFonts w:hint="eastAsia" w:ascii="Times New Roman" w:hAnsi="Times New Roman" w:eastAsia="仿宋_GB2312"/>
          <w:spacing w:val="-4"/>
          <w:sz w:val="32"/>
          <w:szCs w:val="32"/>
        </w:rPr>
        <w:t>申报单位应当如实提供工程情况和相关资料，出具虚假资料的，取消参评资格，已完成评价的，撤销评价结果。</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第十九条</w:t>
      </w:r>
      <w:r>
        <w:rPr>
          <w:rFonts w:hint="eastAsia" w:ascii="Times New Roman" w:hAnsi="Times New Roman" w:eastAsia="仿宋_GB2312"/>
          <w:sz w:val="32"/>
          <w:szCs w:val="32"/>
        </w:rPr>
        <w:t>　申报单位应积极配合专家组的现场检查工作，严格执行中央八项规定，不得超规格接待，若有违规行为，视其情节给予批评警告，或取消参评资格。</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第二十条</w:t>
      </w:r>
      <w:r>
        <w:rPr>
          <w:rFonts w:hint="eastAsia" w:ascii="Times New Roman" w:hAnsi="Times New Roman" w:eastAsia="仿宋_GB2312"/>
          <w:sz w:val="32"/>
          <w:szCs w:val="32"/>
        </w:rPr>
        <w:t>　专家及协会工作人员要秉公办事，严守秘密， 廉洁自律。未经协会批准，不得以任何理由、任何身份进行与之有关的非组织活动。对违反相关规定的，视其情节给予批评警告，或者取消相关资格。</w:t>
      </w:r>
    </w:p>
    <w:p>
      <w:pPr>
        <w:overflowPunct w:val="0"/>
        <w:spacing w:before="288" w:beforeLines="120" w:after="288" w:afterLines="120" w:line="579" w:lineRule="exact"/>
        <w:jc w:val="center"/>
        <w:textAlignment w:val="center"/>
        <w:rPr>
          <w:rFonts w:ascii="黑体" w:hAnsi="黑体" w:eastAsia="黑体"/>
          <w:sz w:val="32"/>
          <w:szCs w:val="32"/>
        </w:rPr>
      </w:pPr>
      <w:r>
        <w:rPr>
          <w:rFonts w:hint="eastAsia" w:ascii="黑体" w:hAnsi="黑体" w:eastAsia="黑体"/>
          <w:sz w:val="32"/>
          <w:szCs w:val="32"/>
        </w:rPr>
        <w:t>第八章　附　　则</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第二十一条</w:t>
      </w:r>
      <w:r>
        <w:rPr>
          <w:rFonts w:hint="eastAsia" w:ascii="Times New Roman" w:hAnsi="Times New Roman" w:eastAsia="仿宋_GB2312"/>
          <w:sz w:val="32"/>
          <w:szCs w:val="32"/>
        </w:rPr>
        <w:t>　本办法由湖北省市政工程协会负责解释。</w:t>
      </w: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黑体" w:hAnsi="黑体" w:eastAsia="黑体"/>
          <w:sz w:val="32"/>
          <w:szCs w:val="32"/>
        </w:rPr>
        <w:t>第二十二条</w:t>
      </w:r>
      <w:r>
        <w:rPr>
          <w:rFonts w:hint="eastAsia" w:ascii="Times New Roman" w:hAnsi="Times New Roman" w:eastAsia="仿宋_GB2312"/>
          <w:sz w:val="32"/>
          <w:szCs w:val="32"/>
        </w:rPr>
        <w:t>　本办法自颁布之日起执行。</w:t>
      </w:r>
    </w:p>
    <w:p>
      <w:pPr>
        <w:overflowPunct w:val="0"/>
        <w:spacing w:line="579" w:lineRule="exact"/>
        <w:ind w:firstLine="640" w:firstLineChars="200"/>
        <w:textAlignment w:val="center"/>
        <w:rPr>
          <w:rFonts w:ascii="Times New Roman" w:hAnsi="Times New Roman" w:eastAsia="仿宋_GB2312"/>
          <w:sz w:val="32"/>
          <w:szCs w:val="32"/>
        </w:rPr>
      </w:pPr>
    </w:p>
    <w:p>
      <w:pPr>
        <w:overflowPunct w:val="0"/>
        <w:spacing w:line="579"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附录：1</w:t>
      </w:r>
      <w:r>
        <w:rPr>
          <w:rFonts w:ascii="宋体" w:hAnsi="宋体"/>
          <w:sz w:val="32"/>
          <w:szCs w:val="32"/>
        </w:rPr>
        <w:t>.</w:t>
      </w:r>
      <w:r>
        <w:rPr>
          <w:rFonts w:hint="eastAsia" w:ascii="Times New Roman" w:hAnsi="Times New Roman" w:eastAsia="仿宋_GB2312"/>
          <w:sz w:val="32"/>
          <w:szCs w:val="32"/>
        </w:rPr>
        <w:t>市政工程绿色施工示范项目评价立项申请表</w:t>
      </w:r>
    </w:p>
    <w:p>
      <w:pPr>
        <w:overflowPunct w:val="0"/>
        <w:spacing w:line="579" w:lineRule="exact"/>
        <w:ind w:firstLine="1600" w:firstLineChars="500"/>
        <w:textAlignment w:val="center"/>
        <w:rPr>
          <w:rFonts w:ascii="Times New Roman" w:hAnsi="Times New Roman" w:eastAsia="仿宋_GB2312"/>
          <w:sz w:val="32"/>
          <w:szCs w:val="32"/>
        </w:rPr>
      </w:pPr>
      <w:r>
        <w:rPr>
          <w:rFonts w:hint="eastAsia" w:ascii="Times New Roman" w:hAnsi="Times New Roman" w:eastAsia="仿宋_GB2312"/>
          <w:sz w:val="32"/>
          <w:szCs w:val="32"/>
        </w:rPr>
        <w:t>2</w:t>
      </w:r>
      <w:r>
        <w:rPr>
          <w:rFonts w:ascii="宋体" w:hAnsi="宋体"/>
          <w:sz w:val="32"/>
          <w:szCs w:val="32"/>
        </w:rPr>
        <w:t>.</w:t>
      </w:r>
      <w:r>
        <w:rPr>
          <w:rFonts w:hint="eastAsia" w:ascii="Times New Roman" w:hAnsi="Times New Roman" w:eastAsia="仿宋_GB2312"/>
          <w:sz w:val="32"/>
          <w:szCs w:val="32"/>
        </w:rPr>
        <w:t>市政工程绿色施工过程评价申请表</w:t>
      </w:r>
    </w:p>
    <w:p>
      <w:pPr>
        <w:overflowPunct w:val="0"/>
        <w:spacing w:line="579" w:lineRule="exact"/>
        <w:ind w:firstLine="1600" w:firstLineChars="500"/>
        <w:textAlignment w:val="center"/>
        <w:rPr>
          <w:rFonts w:ascii="Times New Roman" w:hAnsi="Times New Roman" w:eastAsia="仿宋_GB2312"/>
          <w:sz w:val="32"/>
          <w:szCs w:val="32"/>
        </w:rPr>
      </w:pPr>
      <w:r>
        <w:rPr>
          <w:rFonts w:hint="eastAsia" w:ascii="Times New Roman" w:hAnsi="Times New Roman" w:eastAsia="仿宋_GB2312"/>
          <w:sz w:val="32"/>
          <w:szCs w:val="32"/>
        </w:rPr>
        <w:t>3</w:t>
      </w:r>
      <w:r>
        <w:rPr>
          <w:rFonts w:ascii="宋体" w:hAnsi="宋体"/>
          <w:sz w:val="32"/>
          <w:szCs w:val="32"/>
        </w:rPr>
        <w:t>.</w:t>
      </w:r>
      <w:r>
        <w:rPr>
          <w:rFonts w:hint="eastAsia" w:ascii="Times New Roman" w:hAnsi="Times New Roman" w:eastAsia="仿宋_GB2312"/>
          <w:sz w:val="32"/>
          <w:szCs w:val="32"/>
        </w:rPr>
        <w:t>市政工程绿色施工过程评价表</w:t>
      </w:r>
    </w:p>
    <w:p>
      <w:pPr>
        <w:overflowPunct w:val="0"/>
        <w:spacing w:line="579" w:lineRule="exact"/>
        <w:ind w:firstLine="1600" w:firstLineChars="500"/>
        <w:textAlignment w:val="center"/>
        <w:rPr>
          <w:rFonts w:ascii="Times New Roman" w:hAnsi="Times New Roman" w:eastAsia="仿宋_GB2312"/>
          <w:sz w:val="32"/>
          <w:szCs w:val="32"/>
        </w:rPr>
      </w:pPr>
      <w:r>
        <w:rPr>
          <w:rFonts w:hint="eastAsia" w:ascii="Times New Roman" w:hAnsi="Times New Roman" w:eastAsia="仿宋_GB2312"/>
          <w:sz w:val="32"/>
          <w:szCs w:val="32"/>
        </w:rPr>
        <w:t>4</w:t>
      </w:r>
      <w:r>
        <w:rPr>
          <w:rFonts w:ascii="宋体" w:hAnsi="宋体"/>
          <w:sz w:val="32"/>
          <w:szCs w:val="32"/>
        </w:rPr>
        <w:t>.</w:t>
      </w:r>
      <w:r>
        <w:rPr>
          <w:rFonts w:hint="eastAsia" w:ascii="Times New Roman" w:hAnsi="Times New Roman" w:eastAsia="仿宋_GB2312"/>
          <w:sz w:val="32"/>
          <w:szCs w:val="32"/>
        </w:rPr>
        <w:t>市政工程绿色施工示范项目验收评价申请表</w:t>
      </w:r>
    </w:p>
    <w:p>
      <w:pPr>
        <w:overflowPunct w:val="0"/>
        <w:spacing w:line="579" w:lineRule="exact"/>
        <w:ind w:firstLine="1600" w:firstLineChars="500"/>
        <w:textAlignment w:val="center"/>
        <w:rPr>
          <w:rFonts w:ascii="Times New Roman" w:hAnsi="Times New Roman" w:eastAsia="仿宋_GB2312"/>
          <w:sz w:val="32"/>
          <w:szCs w:val="32"/>
        </w:rPr>
      </w:pPr>
      <w:r>
        <w:rPr>
          <w:rFonts w:hint="eastAsia" w:ascii="Times New Roman" w:hAnsi="Times New Roman" w:eastAsia="仿宋_GB2312"/>
          <w:sz w:val="32"/>
          <w:szCs w:val="32"/>
        </w:rPr>
        <w:t>5</w:t>
      </w:r>
      <w:r>
        <w:rPr>
          <w:rFonts w:ascii="宋体" w:hAnsi="宋体"/>
          <w:sz w:val="32"/>
          <w:szCs w:val="32"/>
        </w:rPr>
        <w:t>.</w:t>
      </w:r>
      <w:r>
        <w:rPr>
          <w:rFonts w:hint="eastAsia" w:ascii="Times New Roman" w:hAnsi="Times New Roman" w:eastAsia="仿宋_GB2312"/>
          <w:sz w:val="32"/>
          <w:szCs w:val="32"/>
        </w:rPr>
        <w:t>市政工程绿色施工验收评价表</w:t>
      </w:r>
    </w:p>
    <w:p>
      <w:pPr>
        <w:widowControl/>
        <w:ind w:firstLine="1600" w:firstLineChars="500"/>
        <w:jc w:val="left"/>
        <w:rPr>
          <w:rFonts w:ascii="Times New Roman" w:hAnsi="Times New Roman" w:eastAsia="仿宋_GB2312"/>
          <w:sz w:val="32"/>
          <w:szCs w:val="32"/>
        </w:rPr>
      </w:pPr>
      <w:r>
        <w:rPr>
          <w:rFonts w:hint="eastAsia" w:ascii="Times New Roman" w:hAnsi="Times New Roman" w:eastAsia="仿宋_GB2312"/>
          <w:sz w:val="32"/>
          <w:szCs w:val="32"/>
        </w:rPr>
        <w:t>6</w:t>
      </w:r>
      <w:r>
        <w:rPr>
          <w:rFonts w:ascii="宋体" w:hAnsi="宋体"/>
          <w:sz w:val="32"/>
          <w:szCs w:val="32"/>
        </w:rPr>
        <w:t>.</w:t>
      </w:r>
      <w:r>
        <w:rPr>
          <w:rFonts w:hint="eastAsia" w:ascii="Times New Roman" w:hAnsi="Times New Roman" w:eastAsia="仿宋_GB2312"/>
          <w:sz w:val="32"/>
          <w:szCs w:val="32"/>
        </w:rPr>
        <w:t>示范项目验收评价资料要求</w:t>
      </w:r>
    </w:p>
    <w:p>
      <w:pPr>
        <w:widowControl/>
        <w:ind w:firstLine="636"/>
        <w:jc w:val="left"/>
        <w:rPr>
          <w:rFonts w:ascii="Times New Roman" w:hAnsi="Times New Roman" w:eastAsia="仿宋_GB2312"/>
          <w:sz w:val="32"/>
          <w:szCs w:val="32"/>
        </w:rPr>
      </w:pPr>
      <w:r>
        <w:rPr>
          <w:rFonts w:ascii="Times New Roman" w:hAnsi="Times New Roman" w:eastAsia="仿宋_GB2312"/>
          <w:sz w:val="32"/>
          <w:szCs w:val="32"/>
        </w:rPr>
        <w:br w:type="page"/>
      </w:r>
    </w:p>
    <w:p>
      <w:pPr>
        <w:spacing w:line="579" w:lineRule="exact"/>
        <w:textAlignment w:val="center"/>
        <w:rPr>
          <w:rFonts w:ascii="Times New Roman" w:hAnsi="Times New Roman" w:eastAsia="黑体"/>
          <w:sz w:val="32"/>
        </w:rPr>
      </w:pPr>
      <w:r>
        <w:rPr>
          <w:rFonts w:ascii="Times New Roman" w:hAnsi="Times New Roman" w:eastAsia="黑体"/>
          <w:sz w:val="32"/>
        </w:rPr>
        <w:t>附录1</w:t>
      </w:r>
    </w:p>
    <w:p>
      <w:pPr>
        <w:spacing w:line="700" w:lineRule="exact"/>
        <w:textAlignment w:val="center"/>
        <w:rPr>
          <w:rFonts w:ascii="方正小标宋_GBK" w:hAnsi="宋体" w:eastAsia="方正小标宋_GBK" w:cs="宋体"/>
          <w:bCs/>
          <w:snapToGrid w:val="0"/>
          <w:spacing w:val="-5"/>
          <w:kern w:val="0"/>
          <w:sz w:val="56"/>
          <w:szCs w:val="56"/>
        </w:rPr>
      </w:pPr>
      <w:bookmarkStart w:id="0" w:name="_Hlk107222387"/>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jc w:val="center"/>
        <w:textAlignment w:val="center"/>
        <w:rPr>
          <w:rFonts w:hint="eastAsia" w:ascii="方正小标宋_GBK" w:hAnsi="宋体" w:eastAsia="方正小标宋_GBK" w:cs="宋体"/>
          <w:bCs/>
          <w:snapToGrid w:val="0"/>
          <w:spacing w:val="-5"/>
          <w:kern w:val="0"/>
          <w:sz w:val="56"/>
          <w:szCs w:val="56"/>
          <w:lang w:eastAsia="zh-CN"/>
        </w:rPr>
      </w:pPr>
      <w:r>
        <w:rPr>
          <w:rFonts w:hint="eastAsia" w:ascii="方正小标宋_GBK" w:hAnsi="宋体" w:eastAsia="方正小标宋_GBK" w:cs="宋体"/>
          <w:bCs/>
          <w:snapToGrid w:val="0"/>
          <w:spacing w:val="-5"/>
          <w:kern w:val="0"/>
          <w:sz w:val="56"/>
          <w:szCs w:val="56"/>
        </w:rPr>
        <w:t>湖北省市政工程绿色施工示范项目</w:t>
      </w:r>
    </w:p>
    <w:p>
      <w:pPr>
        <w:spacing w:line="700" w:lineRule="exact"/>
        <w:jc w:val="center"/>
        <w:textAlignment w:val="center"/>
        <w:rPr>
          <w:rFonts w:ascii="方正小标宋_GBK" w:hAnsi="宋体" w:eastAsia="方正小标宋_GBK" w:cs="宋体"/>
          <w:bCs/>
          <w:snapToGrid w:val="0"/>
          <w:spacing w:val="-5"/>
          <w:kern w:val="0"/>
          <w:sz w:val="56"/>
          <w:szCs w:val="56"/>
        </w:rPr>
      </w:pPr>
      <w:r>
        <w:rPr>
          <w:rFonts w:hint="eastAsia" w:ascii="方正小标宋_GBK" w:hAnsi="宋体" w:eastAsia="方正小标宋_GBK" w:cs="宋体"/>
          <w:bCs/>
          <w:snapToGrid w:val="0"/>
          <w:spacing w:val="-5"/>
          <w:kern w:val="0"/>
          <w:sz w:val="56"/>
          <w:szCs w:val="56"/>
        </w:rPr>
        <w:t>评价立项申请表</w:t>
      </w:r>
      <w:bookmarkStart w:id="1" w:name="_Hlk102035636"/>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ind w:firstLine="1280" w:firstLineChars="400"/>
        <w:textAlignment w:val="center"/>
        <w:rPr>
          <w:rFonts w:ascii="Times New Roman" w:hAnsi="Times New Roman" w:eastAsia="仿宋_GB2312"/>
          <w:sz w:val="32"/>
          <w:szCs w:val="32"/>
        </w:rPr>
      </w:pPr>
      <w:r>
        <w:rPr>
          <w:rFonts w:hint="eastAsia" w:ascii="Times New Roman" w:hAnsi="Times New Roman" w:eastAsia="仿宋_GB2312"/>
          <w:sz w:val="32"/>
          <w:szCs w:val="32"/>
        </w:rPr>
        <w:t>工程名称</w:t>
      </w:r>
      <w:r>
        <w:rPr>
          <w:rFonts w:ascii="Times New Roman" w:hAnsi="Times New Roman" w:eastAsia="仿宋_GB2312"/>
          <w:sz w:val="32"/>
          <w:szCs w:val="32"/>
        </w:rPr>
        <w:t>：</w:t>
      </w:r>
      <w:r>
        <w:rPr>
          <w:rFonts w:ascii="Times New Roman" w:hAnsi="Times New Roman" w:eastAsia="仿宋_GB2312"/>
          <w:sz w:val="32"/>
          <w:szCs w:val="32"/>
          <w:u w:val="single"/>
        </w:rPr>
        <w:t>　　　　　　　　　　　　　</w:t>
      </w:r>
    </w:p>
    <w:p>
      <w:pPr>
        <w:spacing w:line="7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申报单位：</w:t>
      </w:r>
      <w:r>
        <w:rPr>
          <w:rFonts w:ascii="Times New Roman" w:hAnsi="Times New Roman" w:eastAsia="仿宋_GB2312"/>
          <w:sz w:val="32"/>
          <w:szCs w:val="32"/>
          <w:u w:val="single"/>
        </w:rPr>
        <w:t>　　　　　　　　　　　　　</w:t>
      </w:r>
      <w:r>
        <w:rPr>
          <w:rFonts w:ascii="Times New Roman" w:hAnsi="Times New Roman" w:eastAsia="仿宋_GB2312"/>
          <w:sz w:val="32"/>
          <w:szCs w:val="32"/>
        </w:rPr>
        <w:t>（公章）</w:t>
      </w:r>
    </w:p>
    <w:p>
      <w:pPr>
        <w:spacing w:line="7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申报地区：</w:t>
      </w:r>
      <w:bookmarkStart w:id="2" w:name="_Hlk102033486"/>
      <w:r>
        <w:rPr>
          <w:rFonts w:ascii="Times New Roman" w:hAnsi="Times New Roman" w:eastAsia="仿宋_GB2312"/>
          <w:sz w:val="32"/>
          <w:szCs w:val="32"/>
          <w:u w:val="single"/>
        </w:rPr>
        <w:t>　　　　　　　　　　　　　</w:t>
      </w:r>
    </w:p>
    <w:p>
      <w:pPr>
        <w:spacing w:line="7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申请时间：</w:t>
      </w:r>
      <w:r>
        <w:rPr>
          <w:rFonts w:ascii="Times New Roman" w:hAnsi="Times New Roman" w:eastAsia="仿宋_GB2312"/>
          <w:sz w:val="32"/>
          <w:szCs w:val="32"/>
          <w:u w:val="single"/>
        </w:rPr>
        <w:t>　　　　　　</w:t>
      </w:r>
      <w:r>
        <w:rPr>
          <w:rFonts w:hint="eastAsia"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bookmarkEnd w:id="1"/>
      <w:bookmarkEnd w:id="2"/>
    </w:p>
    <w:p>
      <w:pPr>
        <w:spacing w:line="579" w:lineRule="exact"/>
        <w:jc w:val="center"/>
        <w:textAlignment w:val="center"/>
        <w:rPr>
          <w:rFonts w:ascii="Times New Roman" w:hAnsi="Times New Roman" w:eastAsia="仿宋_GB2312"/>
          <w:sz w:val="32"/>
          <w:szCs w:val="32"/>
        </w:rPr>
      </w:pPr>
    </w:p>
    <w:p>
      <w:pPr>
        <w:spacing w:line="579" w:lineRule="exact"/>
        <w:jc w:val="center"/>
        <w:textAlignment w:val="center"/>
        <w:rPr>
          <w:rFonts w:ascii="Times New Roman" w:hAnsi="Times New Roman" w:eastAsia="仿宋_GB2312"/>
          <w:sz w:val="32"/>
          <w:szCs w:val="32"/>
        </w:rPr>
      </w:pPr>
    </w:p>
    <w:p>
      <w:pPr>
        <w:spacing w:line="579" w:lineRule="exact"/>
        <w:jc w:val="center"/>
        <w:textAlignment w:val="center"/>
        <w:rPr>
          <w:rFonts w:ascii="Times New Roman" w:hAnsi="Times New Roman" w:eastAsia="仿宋_GB2312"/>
          <w:sz w:val="32"/>
          <w:szCs w:val="32"/>
        </w:rPr>
      </w:pPr>
    </w:p>
    <w:p>
      <w:pPr>
        <w:spacing w:line="579" w:lineRule="exact"/>
        <w:jc w:val="center"/>
        <w:textAlignment w:val="center"/>
        <w:rPr>
          <w:rFonts w:ascii="楷体_GB2312" w:hAnsi="Times New Roman" w:eastAsia="楷体_GB2312"/>
          <w:snapToGrid w:val="0"/>
          <w:kern w:val="0"/>
          <w:sz w:val="32"/>
          <w:szCs w:val="32"/>
        </w:rPr>
        <w:sectPr>
          <w:footerReference r:id="rId3" w:type="default"/>
          <w:pgSz w:w="11900" w:h="16830"/>
          <w:pgMar w:top="1871" w:right="1531" w:bottom="2211" w:left="1531" w:header="851" w:footer="1531" w:gutter="0"/>
          <w:cols w:space="720" w:num="1"/>
          <w:docGrid w:type="lines" w:linePitch="0" w:charSpace="0"/>
        </w:sectPr>
      </w:pPr>
      <w:r>
        <w:rPr>
          <w:rFonts w:hint="eastAsia" w:ascii="楷体_GB2312" w:hAnsi="Times New Roman" w:eastAsia="楷体_GB2312"/>
          <w:sz w:val="32"/>
          <w:szCs w:val="32"/>
        </w:rPr>
        <w:t>湖北省市政工程协会编制</w:t>
      </w:r>
      <w:bookmarkEnd w:id="0"/>
    </w:p>
    <w:tbl>
      <w:tblPr>
        <w:tblStyle w:val="25"/>
        <w:tblW w:w="502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6"/>
        <w:gridCol w:w="2112"/>
        <w:gridCol w:w="2268"/>
        <w:gridCol w:w="1838"/>
        <w:gridCol w:w="2596"/>
        <w:gridCol w:w="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4974" w:type="pct"/>
            <w:gridSpan w:val="5"/>
            <w:tcBorders>
              <w:top w:val="single" w:color="auto" w:sz="4"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pacing w:val="5"/>
                <w:sz w:val="24"/>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项目名称</w:t>
            </w:r>
          </w:p>
        </w:tc>
        <w:tc>
          <w:tcPr>
            <w:tcW w:w="3787" w:type="pct"/>
            <w:gridSpan w:val="4"/>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4"/>
                <w:sz w:val="24"/>
              </w:rPr>
              <w:t>项目类型</w:t>
            </w:r>
          </w:p>
        </w:tc>
        <w:tc>
          <w:tcPr>
            <w:tcW w:w="1275" w:type="pct"/>
            <w:tcBorders>
              <w:top w:val="single" w:color="000000" w:sz="2"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项目所在地</w:t>
            </w:r>
          </w:p>
        </w:tc>
        <w:tc>
          <w:tcPr>
            <w:tcW w:w="1479" w:type="pct"/>
            <w:gridSpan w:val="2"/>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工程造价（万元）</w:t>
            </w:r>
          </w:p>
        </w:tc>
        <w:tc>
          <w:tcPr>
            <w:tcW w:w="1275" w:type="pct"/>
            <w:tcBorders>
              <w:top w:val="single" w:color="000000" w:sz="2" w:space="0"/>
              <w:bottom w:val="single" w:color="000000" w:sz="2" w:space="0"/>
            </w:tcBorders>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1033" w:type="pct"/>
            <w:tcBorders>
              <w:top w:val="single" w:color="000000" w:sz="2"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建设规模</w:t>
            </w:r>
          </w:p>
        </w:tc>
        <w:tc>
          <w:tcPr>
            <w:tcW w:w="1479" w:type="pct"/>
            <w:gridSpan w:val="2"/>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4"/>
                <w:sz w:val="24"/>
              </w:rPr>
              <w:t>开工日期</w:t>
            </w:r>
          </w:p>
        </w:tc>
        <w:tc>
          <w:tcPr>
            <w:tcW w:w="1275" w:type="pct"/>
            <w:tcBorders>
              <w:top w:val="single" w:color="000000" w:sz="2"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计划竣工日期</w:t>
            </w:r>
          </w:p>
        </w:tc>
        <w:tc>
          <w:tcPr>
            <w:tcW w:w="1479" w:type="pct"/>
            <w:gridSpan w:val="2"/>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工程形象进度</w:t>
            </w:r>
          </w:p>
        </w:tc>
        <w:tc>
          <w:tcPr>
            <w:tcW w:w="3787" w:type="pct"/>
            <w:gridSpan w:val="4"/>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项目负责人</w:t>
            </w:r>
          </w:p>
        </w:tc>
        <w:tc>
          <w:tcPr>
            <w:tcW w:w="1275" w:type="pct"/>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2"/>
                <w:sz w:val="24"/>
              </w:rPr>
            </w:pPr>
            <w:r>
              <w:rPr>
                <w:rFonts w:ascii="Times New Roman" w:hAnsi="Times New Roman" w:eastAsia="仿宋_GB2312" w:cs="Times New Roman"/>
                <w:snapToGrid w:val="0"/>
                <w:color w:val="auto"/>
                <w:spacing w:val="2"/>
                <w:sz w:val="24"/>
              </w:rPr>
              <w:t>联系电话</w:t>
            </w:r>
          </w:p>
        </w:tc>
        <w:tc>
          <w:tcPr>
            <w:tcW w:w="1479" w:type="pct"/>
            <w:gridSpan w:val="2"/>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技术负责人</w:t>
            </w:r>
          </w:p>
        </w:tc>
        <w:tc>
          <w:tcPr>
            <w:tcW w:w="1275" w:type="pct"/>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2"/>
                <w:sz w:val="24"/>
              </w:rPr>
            </w:pPr>
            <w:r>
              <w:rPr>
                <w:rFonts w:ascii="Times New Roman" w:hAnsi="Times New Roman" w:eastAsia="仿宋_GB2312" w:cs="Times New Roman"/>
                <w:snapToGrid w:val="0"/>
                <w:color w:val="auto"/>
                <w:spacing w:val="2"/>
                <w:sz w:val="24"/>
              </w:rPr>
              <w:t>联系电话</w:t>
            </w:r>
          </w:p>
        </w:tc>
        <w:tc>
          <w:tcPr>
            <w:tcW w:w="1479" w:type="pct"/>
            <w:gridSpan w:val="2"/>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企业负责人</w:t>
            </w:r>
          </w:p>
        </w:tc>
        <w:tc>
          <w:tcPr>
            <w:tcW w:w="1275" w:type="pct"/>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pacing w:val="2"/>
                <w:sz w:val="24"/>
              </w:rPr>
            </w:pPr>
            <w:r>
              <w:rPr>
                <w:rFonts w:ascii="Times New Roman" w:hAnsi="Times New Roman" w:eastAsia="仿宋_GB2312" w:cs="Times New Roman"/>
                <w:snapToGrid w:val="0"/>
                <w:color w:val="auto"/>
                <w:spacing w:val="2"/>
                <w:sz w:val="24"/>
              </w:rPr>
              <w:t>联系电话</w:t>
            </w:r>
          </w:p>
        </w:tc>
        <w:tc>
          <w:tcPr>
            <w:tcW w:w="1479" w:type="pct"/>
            <w:gridSpan w:val="2"/>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907" w:hRule="atLeast"/>
          <w:jc w:val="center"/>
        </w:trPr>
        <w:tc>
          <w:tcPr>
            <w:tcW w:w="1187" w:type="pct"/>
            <w:tcBorders>
              <w:top w:val="single" w:color="000000" w:sz="2" w:space="0"/>
              <w:left w:val="single" w:color="auto" w:sz="4" w:space="0"/>
              <w:bottom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申报联系人</w:t>
            </w:r>
          </w:p>
        </w:tc>
        <w:tc>
          <w:tcPr>
            <w:tcW w:w="1275" w:type="pct"/>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1033" w:type="pct"/>
            <w:tcBorders>
              <w:top w:val="single" w:color="000000" w:sz="2" w:space="0"/>
              <w:left w:val="single" w:color="auto" w:sz="4" w:space="0"/>
              <w:bottom w:val="single" w:color="000000" w:sz="2"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联系电话</w:t>
            </w:r>
          </w:p>
        </w:tc>
        <w:tc>
          <w:tcPr>
            <w:tcW w:w="1479" w:type="pct"/>
            <w:gridSpan w:val="2"/>
            <w:tcBorders>
              <w:top w:val="single" w:color="000000" w:sz="2" w:space="0"/>
              <w:bottom w:val="single" w:color="000000" w:sz="2" w:space="0"/>
              <w:right w:val="single" w:color="auto" w:sz="4" w:space="0"/>
            </w:tcBorders>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3555" w:hRule="atLeast"/>
          <w:jc w:val="center"/>
        </w:trPr>
        <w:tc>
          <w:tcPr>
            <w:tcW w:w="2462" w:type="pct"/>
            <w:gridSpan w:val="2"/>
            <w:tcBorders>
              <w:top w:val="single" w:color="000000" w:sz="2" w:space="0"/>
              <w:left w:val="single" w:color="auto" w:sz="4" w:space="0"/>
              <w:bottom w:val="single" w:color="000000" w:sz="2" w:space="0"/>
              <w:right w:val="single" w:color="auto" w:sz="4" w:space="0"/>
            </w:tcBorders>
          </w:tcPr>
          <w:p>
            <w:pPr>
              <w:overflowPunct w:val="0"/>
              <w:spacing w:before="120" w:beforeLines="50" w:line="400" w:lineRule="exact"/>
              <w:jc w:val="left"/>
              <w:textAlignment w:val="center"/>
              <w:rPr>
                <w:rFonts w:ascii="Times New Roman" w:hAnsi="Times New Roman" w:eastAsia="仿宋_GB2312" w:cs="Times New Roman"/>
                <w:snapToGrid w:val="0"/>
                <w:color w:val="auto"/>
                <w:spacing w:val="2"/>
                <w:sz w:val="24"/>
              </w:rPr>
            </w:pPr>
            <w:r>
              <w:rPr>
                <w:rFonts w:ascii="Times New Roman" w:hAnsi="Times New Roman" w:eastAsia="仿宋_GB2312" w:cs="Times New Roman"/>
                <w:snapToGrid w:val="0"/>
                <w:color w:val="auto"/>
                <w:spacing w:val="2"/>
                <w:sz w:val="24"/>
              </w:rPr>
              <w:t>施工单位：</w:t>
            </w:r>
          </w:p>
          <w:p>
            <w:pPr>
              <w:overflowPunct w:val="0"/>
              <w:spacing w:line="400" w:lineRule="exact"/>
              <w:jc w:val="center"/>
              <w:textAlignment w:val="center"/>
              <w:rPr>
                <w:rFonts w:ascii="Times New Roman" w:hAnsi="Times New Roman" w:eastAsia="仿宋_GB2312" w:cs="Times New Roman"/>
                <w:snapToGrid w:val="0"/>
                <w:color w:val="auto"/>
                <w:spacing w:val="2"/>
                <w:sz w:val="24"/>
              </w:rPr>
            </w:pPr>
          </w:p>
          <w:p>
            <w:pPr>
              <w:overflowPunct w:val="0"/>
              <w:spacing w:line="400" w:lineRule="exact"/>
              <w:jc w:val="center"/>
              <w:textAlignment w:val="center"/>
              <w:rPr>
                <w:rFonts w:ascii="Times New Roman" w:hAnsi="Times New Roman" w:eastAsia="仿宋_GB2312" w:cs="Times New Roman"/>
                <w:snapToGrid w:val="0"/>
                <w:color w:val="auto"/>
                <w:spacing w:val="2"/>
                <w:sz w:val="24"/>
              </w:rPr>
            </w:pPr>
          </w:p>
          <w:p>
            <w:pPr>
              <w:overflowPunct w:val="0"/>
              <w:spacing w:line="400" w:lineRule="exact"/>
              <w:jc w:val="center"/>
              <w:textAlignment w:val="center"/>
              <w:rPr>
                <w:rFonts w:ascii="Times New Roman" w:hAnsi="Times New Roman" w:eastAsia="仿宋_GB2312" w:cs="Times New Roman"/>
                <w:snapToGrid w:val="0"/>
                <w:color w:val="auto"/>
                <w:spacing w:val="2"/>
                <w:sz w:val="24"/>
              </w:rPr>
            </w:pPr>
          </w:p>
          <w:p>
            <w:pPr>
              <w:overflowPunct w:val="0"/>
              <w:spacing w:line="400" w:lineRule="exact"/>
              <w:jc w:val="center"/>
              <w:textAlignment w:val="center"/>
              <w:rPr>
                <w:rFonts w:ascii="Times New Roman" w:hAnsi="Times New Roman" w:eastAsia="仿宋_GB2312" w:cs="Times New Roman"/>
                <w:snapToGrid w:val="0"/>
                <w:color w:val="auto"/>
                <w:spacing w:val="2"/>
                <w:sz w:val="24"/>
              </w:rPr>
            </w:pPr>
          </w:p>
          <w:p>
            <w:pPr>
              <w:overflowPunct w:val="0"/>
              <w:spacing w:line="400" w:lineRule="exact"/>
              <w:jc w:val="center"/>
              <w:textAlignment w:val="center"/>
              <w:rPr>
                <w:rFonts w:ascii="Times New Roman" w:hAnsi="Times New Roman" w:eastAsia="仿宋_GB2312" w:cs="Times New Roman"/>
                <w:snapToGrid w:val="0"/>
                <w:color w:val="auto"/>
                <w:spacing w:val="2"/>
                <w:sz w:val="24"/>
              </w:rPr>
            </w:pPr>
          </w:p>
          <w:p>
            <w:pPr>
              <w:overflowPunct w:val="0"/>
              <w:spacing w:line="400" w:lineRule="exact"/>
              <w:ind w:right="732"/>
              <w:jc w:val="righ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（盖章）</w:t>
            </w:r>
            <w:r>
              <w:rPr>
                <w:rFonts w:hint="eastAsia" w:ascii="Times New Roman" w:hAnsi="Times New Roman" w:eastAsia="仿宋_GB2312" w:cs="Times New Roman"/>
                <w:snapToGrid w:val="0"/>
                <w:color w:val="auto"/>
                <w:spacing w:val="2"/>
                <w:sz w:val="24"/>
              </w:rPr>
              <w:t>　　　</w:t>
            </w:r>
          </w:p>
        </w:tc>
        <w:tc>
          <w:tcPr>
            <w:tcW w:w="2512" w:type="pct"/>
            <w:gridSpan w:val="3"/>
            <w:tcBorders>
              <w:top w:val="single" w:color="000000" w:sz="2" w:space="0"/>
              <w:left w:val="single" w:color="auto" w:sz="4" w:space="0"/>
              <w:bottom w:val="single" w:color="000000" w:sz="2" w:space="0"/>
              <w:right w:val="single" w:color="auto" w:sz="4" w:space="0"/>
            </w:tcBorders>
          </w:tcPr>
          <w:p>
            <w:pPr>
              <w:overflowPunct w:val="0"/>
              <w:spacing w:before="120" w:beforeLines="50" w:line="400" w:lineRule="exact"/>
              <w:jc w:val="lef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推荐单位意见：</w:t>
            </w:r>
          </w:p>
          <w:p>
            <w:pPr>
              <w:overflowPunct w:val="0"/>
              <w:spacing w:line="400" w:lineRule="exact"/>
              <w:jc w:val="center"/>
              <w:textAlignment w:val="center"/>
              <w:rPr>
                <w:rFonts w:ascii="Times New Roman" w:hAnsi="Times New Roman" w:eastAsia="仿宋_GB2312" w:cs="Times New Roman"/>
                <w:snapToGrid w:val="0"/>
                <w:color w:val="auto"/>
                <w:sz w:val="24"/>
              </w:rPr>
            </w:pPr>
          </w:p>
          <w:p>
            <w:pPr>
              <w:overflowPunct w:val="0"/>
              <w:spacing w:line="400" w:lineRule="exact"/>
              <w:jc w:val="center"/>
              <w:textAlignment w:val="center"/>
              <w:rPr>
                <w:rFonts w:ascii="Times New Roman" w:hAnsi="Times New Roman" w:eastAsia="仿宋_GB2312" w:cs="Times New Roman"/>
                <w:snapToGrid w:val="0"/>
                <w:color w:val="auto"/>
                <w:sz w:val="24"/>
              </w:rPr>
            </w:pPr>
          </w:p>
          <w:p>
            <w:pPr>
              <w:overflowPunct w:val="0"/>
              <w:spacing w:line="400" w:lineRule="exact"/>
              <w:jc w:val="center"/>
              <w:textAlignment w:val="center"/>
              <w:rPr>
                <w:rFonts w:ascii="Times New Roman" w:hAnsi="Times New Roman" w:eastAsia="仿宋_GB2312" w:cs="Times New Roman"/>
                <w:snapToGrid w:val="0"/>
                <w:color w:val="auto"/>
                <w:sz w:val="24"/>
              </w:rPr>
            </w:pPr>
          </w:p>
          <w:p>
            <w:pPr>
              <w:overflowPunct w:val="0"/>
              <w:spacing w:line="400" w:lineRule="exact"/>
              <w:jc w:val="center"/>
              <w:textAlignment w:val="center"/>
              <w:rPr>
                <w:rFonts w:ascii="Times New Roman" w:hAnsi="Times New Roman" w:eastAsia="仿宋_GB2312" w:cs="Times New Roman"/>
                <w:snapToGrid w:val="0"/>
                <w:color w:val="auto"/>
                <w:sz w:val="24"/>
              </w:rPr>
            </w:pPr>
          </w:p>
          <w:p>
            <w:pPr>
              <w:overflowPunct w:val="0"/>
              <w:spacing w:line="400" w:lineRule="exact"/>
              <w:jc w:val="center"/>
              <w:textAlignment w:val="center"/>
              <w:rPr>
                <w:rFonts w:ascii="Times New Roman" w:hAnsi="Times New Roman" w:eastAsia="仿宋_GB2312" w:cs="Times New Roman"/>
                <w:snapToGrid w:val="0"/>
                <w:color w:val="auto"/>
                <w:sz w:val="24"/>
              </w:rPr>
            </w:pPr>
          </w:p>
          <w:p>
            <w:pPr>
              <w:overflowPunct w:val="0"/>
              <w:spacing w:line="400" w:lineRule="exact"/>
              <w:ind w:right="720"/>
              <w:jc w:val="righ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（盖章）</w:t>
            </w:r>
            <w:r>
              <w:rPr>
                <w:rFonts w:hint="eastAsia" w:ascii="Times New Roman" w:hAnsi="Times New Roman" w:eastAsia="仿宋_GB2312" w:cs="Times New Roman"/>
                <w:snapToGrid w:val="0"/>
                <w:color w:val="auto"/>
                <w:sz w:val="24"/>
              </w:rPr>
              <w:t>　</w:t>
            </w:r>
            <w:r>
              <w:rPr>
                <w:rFonts w:ascii="Times New Roman" w:hAnsi="Times New Roman" w:eastAsia="仿宋_GB2312" w:cs="Times New Roman"/>
                <w:snapToGrid w:val="0"/>
                <w:color w:val="auto"/>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680" w:hRule="atLeast"/>
          <w:jc w:val="center"/>
        </w:trPr>
        <w:tc>
          <w:tcPr>
            <w:tcW w:w="4974" w:type="pct"/>
            <w:gridSpan w:val="5"/>
            <w:tcBorders>
              <w:top w:val="single" w:color="000000" w:sz="2" w:space="0"/>
              <w:left w:val="single" w:color="auto" w:sz="4" w:space="0"/>
              <w:bottom w:val="single" w:color="000000" w:sz="2" w:space="0"/>
              <w:right w:val="single" w:color="auto" w:sz="4" w:space="0"/>
            </w:tcBorders>
            <w:vAlign w:val="center"/>
          </w:tcPr>
          <w:p>
            <w:pPr>
              <w:overflowPunct w:val="0"/>
              <w:spacing w:line="360" w:lineRule="exact"/>
              <w:jc w:val="center"/>
              <w:textAlignment w:val="center"/>
              <w:rPr>
                <w:rFonts w:ascii="黑体" w:hAnsi="黑体" w:eastAsia="黑体" w:cs="Times New Roman"/>
                <w:snapToGrid w:val="0"/>
                <w:color w:val="auto"/>
                <w:spacing w:val="5"/>
                <w:sz w:val="24"/>
              </w:rPr>
            </w:pPr>
            <w:r>
              <w:rPr>
                <w:rFonts w:ascii="黑体" w:hAnsi="黑体" w:eastAsia="黑体" w:cs="Times New Roman"/>
                <w:snapToGrid w:val="0"/>
                <w:color w:val="auto"/>
                <w:spacing w:val="5"/>
                <w:sz w:val="24"/>
              </w:rPr>
              <w:t>工程概况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737" w:hRule="atLeast"/>
          <w:jc w:val="center"/>
        </w:trPr>
        <w:tc>
          <w:tcPr>
            <w:tcW w:w="4974" w:type="pct"/>
            <w:gridSpan w:val="5"/>
            <w:tcBorders>
              <w:top w:val="single" w:color="000000" w:sz="2" w:space="0"/>
              <w:left w:val="single" w:color="auto" w:sz="4" w:space="0"/>
              <w:bottom w:val="single" w:color="auto" w:sz="4" w:space="0"/>
              <w:right w:val="single" w:color="auto" w:sz="4" w:space="0"/>
            </w:tcBorders>
            <w:vAlign w:val="center"/>
          </w:tcPr>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680" w:hRule="atLeast"/>
          <w:jc w:val="center"/>
        </w:trPr>
        <w:tc>
          <w:tcPr>
            <w:tcW w:w="4974"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ascii="黑体" w:hAnsi="黑体" w:eastAsia="黑体" w:cs="Times New Roman"/>
                <w:snapToGrid w:val="0"/>
                <w:color w:val="auto"/>
                <w:spacing w:val="5"/>
                <w:sz w:val="24"/>
              </w:rPr>
            </w:pPr>
            <w:r>
              <w:rPr>
                <w:rFonts w:ascii="黑体" w:hAnsi="黑体" w:eastAsia="黑体" w:cs="Times New Roman"/>
                <w:snapToGrid w:val="0"/>
                <w:color w:val="auto"/>
                <w:spacing w:val="5"/>
                <w:sz w:val="24"/>
              </w:rPr>
              <w:t>建设手续情况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 w:type="pct"/>
          <w:trHeight w:val="737" w:hRule="atLeast"/>
          <w:jc w:val="center"/>
        </w:trPr>
        <w:tc>
          <w:tcPr>
            <w:tcW w:w="4974"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76" w:lineRule="exact"/>
              <w:jc w:val="center"/>
              <w:textAlignment w:val="center"/>
              <w:rPr>
                <w:rFonts w:ascii="Times New Roman" w:hAnsi="Times New Roman" w:eastAsia="仿宋_GB2312" w:cs="Times New Roman"/>
                <w:snapToGrid w:val="0"/>
                <w:color w:val="auto"/>
                <w:sz w:val="24"/>
              </w:rPr>
            </w:pPr>
          </w:p>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20" w:type="pct"/>
          <w:trHeight w:val="680" w:hRule="atLeast"/>
          <w:jc w:val="center"/>
        </w:trPr>
        <w:tc>
          <w:tcPr>
            <w:tcW w:w="4980" w:type="pct"/>
            <w:gridSpan w:val="5"/>
            <w:tcBorders>
              <w:top w:val="single" w:color="000000" w:sz="2" w:space="0"/>
              <w:bottom w:val="single" w:color="000000" w:sz="2" w:space="0"/>
            </w:tcBorders>
            <w:vAlign w:val="center"/>
          </w:tcPr>
          <w:p>
            <w:pPr>
              <w:overflowPunct w:val="0"/>
              <w:spacing w:line="360" w:lineRule="exact"/>
              <w:jc w:val="center"/>
              <w:textAlignment w:val="center"/>
              <w:rPr>
                <w:rFonts w:ascii="黑体" w:hAnsi="黑体" w:eastAsia="黑体" w:cs="Times New Roman"/>
                <w:snapToGrid w:val="0"/>
                <w:color w:val="auto"/>
                <w:spacing w:val="5"/>
                <w:sz w:val="24"/>
              </w:rPr>
            </w:pPr>
            <w:r>
              <w:rPr>
                <w:rFonts w:ascii="黑体" w:hAnsi="黑体" w:eastAsia="黑体" w:cs="Times New Roman"/>
                <w:snapToGrid w:val="0"/>
                <w:color w:val="auto"/>
                <w:spacing w:val="5"/>
                <w:sz w:val="24"/>
              </w:rPr>
              <w:t>绿色施工实施策划方案编制情况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20" w:type="pct"/>
          <w:jc w:val="center"/>
        </w:trPr>
        <w:tc>
          <w:tcPr>
            <w:tcW w:w="4980" w:type="pct"/>
            <w:gridSpan w:val="5"/>
            <w:tcBorders>
              <w:top w:val="single" w:color="000000" w:sz="2" w:space="0"/>
              <w:bottom w:val="single" w:color="000000" w:sz="2" w:space="0"/>
            </w:tcBorders>
            <w:vAlign w:val="center"/>
          </w:tcPr>
          <w:p>
            <w:pPr>
              <w:overflowPunct w:val="0"/>
              <w:spacing w:line="100"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0" w:lineRule="exact"/>
              <w:ind w:firstLine="484" w:firstLineChars="200"/>
              <w:textAlignment w:val="center"/>
              <w:rPr>
                <w:rFonts w:ascii="Times New Roman" w:hAnsi="Times New Roman" w:eastAsia="仿宋_GB2312" w:cs="Times New Roman"/>
                <w:snapToGrid w:val="0"/>
                <w:color w:val="auto"/>
                <w:spacing w:val="1"/>
                <w:sz w:val="24"/>
              </w:rPr>
            </w:pPr>
            <w:r>
              <w:rPr>
                <w:rFonts w:ascii="Times New Roman" w:hAnsi="Times New Roman" w:eastAsia="仿宋_GB2312" w:cs="Times New Roman"/>
                <w:snapToGrid w:val="0"/>
                <w:color w:val="auto"/>
                <w:spacing w:val="1"/>
                <w:sz w:val="24"/>
              </w:rPr>
              <w:t>方案内容包括：绿色施工目标明确，涵盖绿色施工管理、环境保护、节材与材料资源利用、节水与水资源利用、节能与能源利用和节地与土地资源保护六个要素及科技创新等要求的内容。</w:t>
            </w: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4" w:lineRule="exact"/>
              <w:ind w:firstLine="484" w:firstLineChars="200"/>
              <w:textAlignment w:val="center"/>
              <w:rPr>
                <w:rFonts w:ascii="Times New Roman" w:hAnsi="Times New Roman" w:eastAsia="仿宋_GB2312" w:cs="Times New Roman"/>
                <w:snapToGrid w:val="0"/>
                <w:color w:val="auto"/>
                <w:spacing w:val="1"/>
                <w:sz w:val="24"/>
              </w:rPr>
            </w:pPr>
          </w:p>
          <w:p>
            <w:pPr>
              <w:overflowPunct w:val="0"/>
              <w:spacing w:line="320" w:lineRule="exact"/>
              <w:jc w:val="right"/>
              <w:textAlignment w:val="center"/>
              <w:rPr>
                <w:rFonts w:ascii="Times New Roman" w:hAnsi="Times New Roman" w:eastAsia="仿宋_GB2312" w:cs="Times New Roman"/>
                <w:snapToGrid w:val="0"/>
                <w:color w:val="auto"/>
                <w:spacing w:val="1"/>
                <w:sz w:val="24"/>
              </w:rPr>
            </w:pPr>
            <w:r>
              <w:rPr>
                <w:rFonts w:ascii="Times New Roman" w:hAnsi="Times New Roman" w:eastAsia="仿宋_GB2312" w:cs="Times New Roman"/>
                <w:snapToGrid w:val="0"/>
                <w:color w:val="auto"/>
                <w:spacing w:val="1"/>
                <w:sz w:val="24"/>
              </w:rPr>
              <w:t>（页面不够可另附）</w:t>
            </w:r>
          </w:p>
          <w:p>
            <w:pPr>
              <w:overflowPunct w:val="0"/>
              <w:spacing w:line="200" w:lineRule="exact"/>
              <w:jc w:val="right"/>
              <w:textAlignment w:val="center"/>
              <w:rPr>
                <w:rFonts w:ascii="Times New Roman" w:hAnsi="Times New Roman" w:eastAsia="仿宋_GB2312" w:cs="Times New Roman"/>
                <w:snapToGrid w:val="0"/>
                <w:color w:val="auto"/>
                <w:spacing w:val="1"/>
                <w:sz w:val="24"/>
              </w:rPr>
            </w:pPr>
          </w:p>
        </w:tc>
      </w:tr>
    </w:tbl>
    <w:p>
      <w:pPr>
        <w:widowControl/>
        <w:spacing w:line="20" w:lineRule="exact"/>
        <w:jc w:val="left"/>
        <w:rPr>
          <w:rFonts w:ascii="Times New Roman" w:hAnsi="Times New Roman" w:eastAsia="黑体"/>
          <w:sz w:val="32"/>
        </w:rPr>
      </w:pPr>
      <w:r>
        <w:rPr>
          <w:rFonts w:ascii="Times New Roman" w:hAnsi="Times New Roman" w:eastAsia="黑体"/>
          <w:sz w:val="32"/>
        </w:rPr>
        <w:br w:type="page"/>
      </w:r>
    </w:p>
    <w:p>
      <w:pPr>
        <w:spacing w:line="579" w:lineRule="exact"/>
        <w:textAlignment w:val="center"/>
        <w:rPr>
          <w:rFonts w:ascii="方正小标宋_GBK" w:hAnsi="宋体" w:eastAsia="方正小标宋_GBK" w:cs="宋体"/>
          <w:bCs/>
          <w:snapToGrid w:val="0"/>
          <w:spacing w:val="-5"/>
          <w:kern w:val="0"/>
          <w:sz w:val="56"/>
          <w:szCs w:val="56"/>
        </w:rPr>
      </w:pPr>
      <w:r>
        <w:rPr>
          <w:rFonts w:hint="eastAsia" w:ascii="Times New Roman" w:hAnsi="Times New Roman" w:eastAsia="黑体"/>
          <w:sz w:val="32"/>
        </w:rPr>
        <w:t>附录</w:t>
      </w:r>
      <w:r>
        <w:rPr>
          <w:rFonts w:ascii="Times New Roman" w:hAnsi="Times New Roman" w:eastAsia="黑体"/>
          <w:sz w:val="32"/>
        </w:rPr>
        <w:t>2</w:t>
      </w:r>
      <w:bookmarkStart w:id="3" w:name="_Hlk107222848"/>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jc w:val="center"/>
        <w:textAlignment w:val="center"/>
        <w:rPr>
          <w:rFonts w:hint="eastAsia" w:ascii="方正小标宋_GBK" w:hAnsi="宋体" w:eastAsia="方正小标宋_GBK" w:cs="宋体"/>
          <w:bCs/>
          <w:snapToGrid w:val="0"/>
          <w:spacing w:val="-5"/>
          <w:kern w:val="0"/>
          <w:sz w:val="56"/>
          <w:szCs w:val="56"/>
          <w:lang w:eastAsia="zh-CN"/>
        </w:rPr>
      </w:pPr>
      <w:r>
        <w:rPr>
          <w:rFonts w:hint="eastAsia" w:ascii="方正小标宋_GBK" w:hAnsi="宋体" w:eastAsia="方正小标宋_GBK" w:cs="宋体"/>
          <w:bCs/>
          <w:snapToGrid w:val="0"/>
          <w:spacing w:val="-5"/>
          <w:kern w:val="0"/>
          <w:sz w:val="56"/>
          <w:szCs w:val="56"/>
        </w:rPr>
        <w:t>湖北省市政工程</w:t>
      </w:r>
      <w:r>
        <w:rPr>
          <w:rFonts w:ascii="方正小标宋_GBK" w:hAnsi="宋体" w:eastAsia="方正小标宋_GBK" w:cs="宋体"/>
          <w:bCs/>
          <w:snapToGrid w:val="0"/>
          <w:spacing w:val="-5"/>
          <w:kern w:val="0"/>
          <w:sz w:val="56"/>
          <w:szCs w:val="56"/>
        </w:rPr>
        <w:t>绿色施工</w:t>
      </w:r>
      <w:r>
        <w:rPr>
          <w:rFonts w:hint="eastAsia" w:ascii="方正小标宋_GBK" w:hAnsi="宋体" w:eastAsia="方正小标宋_GBK" w:cs="宋体"/>
          <w:bCs/>
          <w:snapToGrid w:val="0"/>
          <w:spacing w:val="-5"/>
          <w:kern w:val="0"/>
          <w:sz w:val="56"/>
          <w:szCs w:val="56"/>
        </w:rPr>
        <w:t>过程</w:t>
      </w:r>
      <w:r>
        <w:rPr>
          <w:rFonts w:ascii="方正小标宋_GBK" w:hAnsi="宋体" w:eastAsia="方正小标宋_GBK" w:cs="宋体"/>
          <w:bCs/>
          <w:snapToGrid w:val="0"/>
          <w:spacing w:val="-5"/>
          <w:kern w:val="0"/>
          <w:sz w:val="56"/>
          <w:szCs w:val="56"/>
        </w:rPr>
        <w:t>评价</w:t>
      </w:r>
    </w:p>
    <w:p>
      <w:pPr>
        <w:spacing w:line="700" w:lineRule="exact"/>
        <w:jc w:val="center"/>
        <w:textAlignment w:val="center"/>
        <w:rPr>
          <w:rFonts w:ascii="方正小标宋_GBK" w:hAnsi="宋体" w:eastAsia="方正小标宋_GBK" w:cs="宋体"/>
          <w:bCs/>
          <w:snapToGrid w:val="0"/>
          <w:spacing w:val="-5"/>
          <w:kern w:val="0"/>
          <w:sz w:val="56"/>
          <w:szCs w:val="56"/>
        </w:rPr>
      </w:pPr>
      <w:r>
        <w:rPr>
          <w:rFonts w:ascii="方正小标宋_GBK" w:hAnsi="宋体" w:eastAsia="方正小标宋_GBK" w:cs="宋体"/>
          <w:bCs/>
          <w:snapToGrid w:val="0"/>
          <w:spacing w:val="-5"/>
          <w:kern w:val="0"/>
          <w:sz w:val="56"/>
          <w:szCs w:val="56"/>
        </w:rPr>
        <w:t>申</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请</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表</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800" w:lineRule="exact"/>
        <w:ind w:firstLine="1280" w:firstLineChars="400"/>
        <w:textAlignment w:val="center"/>
        <w:rPr>
          <w:rFonts w:ascii="Times New Roman" w:hAnsi="Times New Roman" w:eastAsia="仿宋_GB2312"/>
          <w:sz w:val="32"/>
          <w:szCs w:val="32"/>
        </w:rPr>
      </w:pPr>
      <w:r>
        <w:rPr>
          <w:rFonts w:hint="eastAsia" w:ascii="Times New Roman" w:hAnsi="Times New Roman" w:eastAsia="仿宋_GB2312"/>
          <w:sz w:val="32"/>
          <w:szCs w:val="32"/>
        </w:rPr>
        <w:t>工程名称</w:t>
      </w:r>
      <w:r>
        <w:rPr>
          <w:rFonts w:ascii="Times New Roman" w:hAnsi="Times New Roman" w:eastAsia="仿宋_GB2312"/>
          <w:sz w:val="32"/>
          <w:szCs w:val="32"/>
        </w:rPr>
        <w:t>：</w:t>
      </w:r>
      <w:r>
        <w:rPr>
          <w:rFonts w:ascii="Times New Roman" w:hAnsi="Times New Roman" w:eastAsia="仿宋_GB2312"/>
          <w:sz w:val="32"/>
          <w:szCs w:val="32"/>
          <w:u w:val="single"/>
        </w:rPr>
        <w:t>　　　　　　　　　　　　　</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申报单位：</w:t>
      </w:r>
      <w:r>
        <w:rPr>
          <w:rFonts w:ascii="Times New Roman" w:hAnsi="Times New Roman" w:eastAsia="仿宋_GB2312"/>
          <w:sz w:val="32"/>
          <w:szCs w:val="32"/>
          <w:u w:val="single"/>
        </w:rPr>
        <w:t>　　　　　　　　　　　　　</w:t>
      </w:r>
      <w:r>
        <w:rPr>
          <w:rFonts w:ascii="Times New Roman" w:hAnsi="Times New Roman" w:eastAsia="仿宋_GB2312"/>
          <w:sz w:val="32"/>
          <w:szCs w:val="32"/>
        </w:rPr>
        <w:t>（公章）</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申请时间：</w:t>
      </w:r>
      <w:r>
        <w:rPr>
          <w:rFonts w:ascii="Times New Roman" w:hAnsi="Times New Roman" w:eastAsia="仿宋_GB2312"/>
          <w:sz w:val="32"/>
          <w:szCs w:val="32"/>
          <w:u w:val="single"/>
        </w:rPr>
        <w:t>　　　　　　</w:t>
      </w:r>
      <w:r>
        <w:rPr>
          <w:rFonts w:hint="eastAsia"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79" w:lineRule="exact"/>
        <w:jc w:val="center"/>
        <w:textAlignment w:val="center"/>
        <w:rPr>
          <w:rFonts w:ascii="楷体_GB2312" w:hAnsi="Times New Roman" w:eastAsia="楷体_GB2312"/>
          <w:snapToGrid w:val="0"/>
          <w:kern w:val="0"/>
          <w:sz w:val="32"/>
          <w:szCs w:val="32"/>
        </w:rPr>
        <w:sectPr>
          <w:footerReference r:id="rId4" w:type="default"/>
          <w:pgSz w:w="11900" w:h="16830"/>
          <w:pgMar w:top="1871" w:right="1531" w:bottom="2211" w:left="1531" w:header="851" w:footer="1531" w:gutter="0"/>
          <w:cols w:space="720" w:num="1"/>
          <w:docGrid w:type="lines" w:linePitch="0" w:charSpace="0"/>
        </w:sectPr>
      </w:pPr>
      <w:r>
        <w:rPr>
          <w:rFonts w:hint="eastAsia" w:ascii="楷体_GB2312" w:hAnsi="Times New Roman" w:eastAsia="楷体_GB2312"/>
          <w:sz w:val="32"/>
          <w:szCs w:val="32"/>
        </w:rPr>
        <w:t>湖北省市政工程协会编制</w:t>
      </w:r>
    </w:p>
    <w:bookmarkEnd w:id="3"/>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47"/>
        <w:gridCol w:w="2292"/>
        <w:gridCol w:w="214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948" w:type="dxa"/>
            <w:gridSpan w:val="4"/>
            <w:vAlign w:val="center"/>
          </w:tcPr>
          <w:p>
            <w:pPr>
              <w:overflowPunct w:val="0"/>
              <w:spacing w:line="360" w:lineRule="exact"/>
              <w:jc w:val="center"/>
              <w:textAlignment w:val="center"/>
              <w:rPr>
                <w:rFonts w:ascii="黑体" w:hAnsi="黑体" w:eastAsia="黑体"/>
                <w:spacing w:val="5"/>
                <w:sz w:val="24"/>
              </w:rPr>
            </w:pPr>
            <w:r>
              <w:rPr>
                <w:rFonts w:ascii="黑体" w:hAnsi="黑体" w:eastAsia="黑体"/>
                <w:spacing w:val="5"/>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项目名称</w:t>
            </w:r>
          </w:p>
        </w:tc>
        <w:tc>
          <w:tcPr>
            <w:tcW w:w="6701" w:type="dxa"/>
            <w:gridSpan w:val="3"/>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项目类型</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项目所在地</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工程造价</w:t>
            </w:r>
          </w:p>
        </w:tc>
        <w:tc>
          <w:tcPr>
            <w:tcW w:w="2292" w:type="dxa"/>
            <w:vAlign w:val="center"/>
          </w:tcPr>
          <w:p>
            <w:pPr>
              <w:overflowPunct w:val="0"/>
              <w:spacing w:line="320" w:lineRule="exact"/>
              <w:ind w:right="120"/>
              <w:jc w:val="right"/>
              <w:textAlignment w:val="center"/>
              <w:rPr>
                <w:rFonts w:ascii="Times New Roman" w:hAnsi="Times New Roman" w:eastAsia="仿宋_GB2312"/>
                <w:sz w:val="24"/>
              </w:rPr>
            </w:pPr>
            <w:r>
              <w:rPr>
                <w:rFonts w:ascii="Times New Roman" w:hAnsi="Times New Roman" w:eastAsia="仿宋_GB2312"/>
                <w:sz w:val="24"/>
              </w:rPr>
              <w:t>万元</w:t>
            </w:r>
            <w:r>
              <w:rPr>
                <w:rFonts w:hint="eastAsia" w:ascii="Times New Roman" w:hAnsi="Times New Roman" w:eastAsia="仿宋_GB2312"/>
                <w:sz w:val="24"/>
              </w:rPr>
              <w:t>　</w:t>
            </w: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工程进度（%）</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开工日期</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计划竣工日期</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联系人</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联系电话</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2"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施工单位</w:t>
            </w:r>
          </w:p>
        </w:tc>
        <w:tc>
          <w:tcPr>
            <w:tcW w:w="6701" w:type="dxa"/>
            <w:gridSpan w:val="3"/>
            <w:vAlign w:val="center"/>
          </w:tcPr>
          <w:p>
            <w:pPr>
              <w:wordWrap w:val="0"/>
              <w:overflowPunct w:val="0"/>
              <w:spacing w:line="320" w:lineRule="exact"/>
              <w:jc w:val="right"/>
              <w:textAlignment w:val="center"/>
              <w:rPr>
                <w:rFonts w:ascii="Times New Roman" w:hAnsi="Times New Roman" w:eastAsia="仿宋_GB2312"/>
                <w:sz w:val="24"/>
              </w:rPr>
            </w:pPr>
            <w:r>
              <w:rPr>
                <w:rFonts w:ascii="Times New Roman" w:hAnsi="Times New Roman" w:eastAsia="仿宋_GB2312"/>
                <w:sz w:val="24"/>
              </w:rPr>
              <w:t>（盖章）</w:t>
            </w:r>
            <w:r>
              <w:rPr>
                <w:rFonts w:hint="eastAsia" w:ascii="Times New Roman" w:hAnsi="Times New Roman" w:eastAsia="仿宋_GB2312"/>
                <w:sz w:val="24"/>
              </w:rPr>
              <w:t>　</w:t>
            </w: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948" w:type="dxa"/>
            <w:gridSpan w:val="4"/>
            <w:vAlign w:val="center"/>
          </w:tcPr>
          <w:p>
            <w:pPr>
              <w:overflowPunct w:val="0"/>
              <w:spacing w:line="360" w:lineRule="exact"/>
              <w:jc w:val="center"/>
              <w:textAlignment w:val="center"/>
              <w:rPr>
                <w:rFonts w:ascii="黑体" w:hAnsi="黑体" w:eastAsia="黑体"/>
                <w:spacing w:val="5"/>
                <w:sz w:val="24"/>
              </w:rPr>
            </w:pPr>
            <w:r>
              <w:rPr>
                <w:rFonts w:ascii="黑体" w:hAnsi="黑体" w:eastAsia="黑体"/>
                <w:spacing w:val="5"/>
                <w:sz w:val="24"/>
              </w:rPr>
              <w:t>工程进度情况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948" w:type="dxa"/>
            <w:gridSpan w:val="4"/>
            <w:vAlign w:val="center"/>
          </w:tcPr>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60" w:lineRule="exact"/>
              <w:jc w:val="center"/>
              <w:textAlignment w:val="center"/>
              <w:rPr>
                <w:rFonts w:ascii="Times New Roman" w:hAnsi="Times New Roman" w:eastAsia="仿宋_GB2312"/>
                <w:bCs/>
                <w:sz w:val="24"/>
              </w:rPr>
            </w:pPr>
          </w:p>
          <w:p>
            <w:pPr>
              <w:tabs>
                <w:tab w:val="left" w:pos="1800"/>
              </w:tabs>
              <w:overflowPunct w:val="0"/>
              <w:spacing w:line="320" w:lineRule="exact"/>
              <w:textAlignment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60" w:lineRule="exact"/>
              <w:jc w:val="center"/>
              <w:textAlignment w:val="center"/>
              <w:rPr>
                <w:rFonts w:ascii="黑体" w:hAnsi="黑体" w:eastAsia="黑体"/>
                <w:spacing w:val="5"/>
                <w:sz w:val="24"/>
              </w:rPr>
            </w:pPr>
            <w:r>
              <w:rPr>
                <w:rFonts w:ascii="黑体" w:hAnsi="黑体" w:eastAsia="黑体"/>
                <w:spacing w:val="5"/>
                <w:sz w:val="24"/>
              </w:rPr>
              <w:t>绿色施工效果（经济效益、社会效益、环境效益）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948" w:type="dxa"/>
            <w:gridSpan w:val="4"/>
            <w:vAlign w:val="center"/>
          </w:tcPr>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60" w:lineRule="exact"/>
              <w:jc w:val="right"/>
              <w:textAlignment w:val="center"/>
              <w:rPr>
                <w:rFonts w:ascii="Times New Roman" w:hAnsi="Times New Roman" w:eastAsia="仿宋_GB2312"/>
                <w:bCs/>
                <w:sz w:val="24"/>
              </w:rPr>
            </w:pPr>
            <w:r>
              <w:rPr>
                <w:rFonts w:ascii="Times New Roman" w:hAnsi="Times New Roman" w:eastAsia="仿宋_GB2312"/>
                <w:bCs/>
                <w:sz w:val="24"/>
              </w:rPr>
              <w:t>（页面不够可另附）</w:t>
            </w:r>
          </w:p>
          <w:p>
            <w:pPr>
              <w:overflowPunct w:val="0"/>
              <w:spacing w:line="100" w:lineRule="exact"/>
              <w:jc w:val="center"/>
              <w:textAlignment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60" w:lineRule="exact"/>
              <w:jc w:val="center"/>
              <w:textAlignment w:val="center"/>
              <w:rPr>
                <w:rFonts w:ascii="黑体" w:hAnsi="黑体" w:eastAsia="黑体"/>
                <w:spacing w:val="5"/>
                <w:sz w:val="24"/>
              </w:rPr>
            </w:pPr>
            <w:r>
              <w:rPr>
                <w:rFonts w:ascii="黑体" w:hAnsi="黑体" w:eastAsia="黑体"/>
                <w:spacing w:val="5"/>
                <w:sz w:val="24"/>
              </w:rPr>
              <w:t>绿色施工科技成果情况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948" w:type="dxa"/>
            <w:gridSpan w:val="4"/>
            <w:vAlign w:val="center"/>
          </w:tcPr>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78" w:lineRule="exact"/>
              <w:ind w:firstLine="480" w:firstLineChars="200"/>
              <w:jc w:val="left"/>
              <w:textAlignment w:val="center"/>
              <w:rPr>
                <w:rFonts w:ascii="Times New Roman" w:hAnsi="Times New Roman" w:eastAsia="仿宋_GB2312"/>
                <w:bCs/>
                <w:sz w:val="24"/>
              </w:rPr>
            </w:pPr>
          </w:p>
          <w:p>
            <w:pPr>
              <w:overflowPunct w:val="0"/>
              <w:spacing w:line="360" w:lineRule="exact"/>
              <w:jc w:val="right"/>
              <w:textAlignment w:val="center"/>
              <w:rPr>
                <w:rFonts w:ascii="Times New Roman" w:hAnsi="Times New Roman" w:eastAsia="仿宋_GB2312"/>
                <w:bCs/>
                <w:sz w:val="24"/>
              </w:rPr>
            </w:pPr>
            <w:r>
              <w:rPr>
                <w:rFonts w:ascii="Times New Roman" w:hAnsi="Times New Roman" w:eastAsia="仿宋_GB2312"/>
                <w:bCs/>
                <w:sz w:val="24"/>
              </w:rPr>
              <w:t>（页面不够可另附）</w:t>
            </w:r>
          </w:p>
          <w:p>
            <w:pPr>
              <w:overflowPunct w:val="0"/>
              <w:spacing w:line="100" w:lineRule="exact"/>
              <w:jc w:val="center"/>
              <w:textAlignment w:val="center"/>
              <w:rPr>
                <w:rFonts w:ascii="Times New Roman" w:hAnsi="Times New Roman" w:eastAsia="仿宋_GB2312"/>
                <w:bCs/>
                <w:sz w:val="24"/>
              </w:rPr>
            </w:pPr>
          </w:p>
        </w:tc>
      </w:tr>
    </w:tbl>
    <w:p>
      <w:pPr>
        <w:widowControl/>
        <w:spacing w:line="20" w:lineRule="exact"/>
        <w:jc w:val="left"/>
        <w:rPr>
          <w:rFonts w:ascii="Times New Roman" w:hAnsi="Times New Roman" w:eastAsia="黑体"/>
          <w:sz w:val="32"/>
        </w:rPr>
      </w:pPr>
      <w:r>
        <w:rPr>
          <w:rFonts w:ascii="Times New Roman" w:hAnsi="Times New Roman" w:eastAsia="黑体"/>
          <w:sz w:val="32"/>
        </w:rPr>
        <w:br w:type="page"/>
      </w:r>
    </w:p>
    <w:p>
      <w:pPr>
        <w:spacing w:line="700" w:lineRule="exact"/>
        <w:textAlignment w:val="center"/>
        <w:rPr>
          <w:rFonts w:ascii="方正小标宋_GBK" w:hAnsi="宋体" w:eastAsia="方正小标宋_GBK" w:cs="宋体"/>
          <w:bCs/>
          <w:snapToGrid w:val="0"/>
          <w:spacing w:val="-5"/>
          <w:kern w:val="0"/>
          <w:sz w:val="56"/>
          <w:szCs w:val="56"/>
        </w:rPr>
      </w:pPr>
      <w:r>
        <w:rPr>
          <w:rFonts w:hint="eastAsia" w:ascii="Times New Roman" w:hAnsi="Times New Roman" w:eastAsia="黑体"/>
          <w:sz w:val="32"/>
        </w:rPr>
        <w:t>附录</w:t>
      </w:r>
      <w:r>
        <w:rPr>
          <w:rFonts w:ascii="Times New Roman" w:hAnsi="Times New Roman" w:eastAsia="黑体"/>
          <w:sz w:val="32"/>
        </w:rPr>
        <w:t>3</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579" w:lineRule="exact"/>
        <w:textAlignment w:val="center"/>
        <w:rPr>
          <w:rFonts w:ascii="Times New Roman" w:hAnsi="Times New Roman" w:eastAsia="黑体"/>
          <w:sz w:val="32"/>
        </w:rPr>
      </w:pPr>
    </w:p>
    <w:p>
      <w:pPr>
        <w:spacing w:line="700" w:lineRule="exact"/>
        <w:jc w:val="center"/>
        <w:textAlignment w:val="center"/>
        <w:rPr>
          <w:rFonts w:hint="eastAsia" w:ascii="方正小标宋_GBK" w:hAnsi="宋体" w:eastAsia="方正小标宋_GBK" w:cs="宋体"/>
          <w:bCs/>
          <w:snapToGrid w:val="0"/>
          <w:spacing w:val="-5"/>
          <w:kern w:val="0"/>
          <w:sz w:val="56"/>
          <w:szCs w:val="56"/>
          <w:lang w:eastAsia="zh-CN"/>
        </w:rPr>
      </w:pPr>
      <w:bookmarkStart w:id="4" w:name="_Hlk107229211"/>
      <w:r>
        <w:rPr>
          <w:rFonts w:hint="eastAsia" w:ascii="方正小标宋_GBK" w:hAnsi="宋体" w:eastAsia="方正小标宋_GBK" w:cs="宋体"/>
          <w:bCs/>
          <w:snapToGrid w:val="0"/>
          <w:spacing w:val="-5"/>
          <w:kern w:val="0"/>
          <w:sz w:val="56"/>
          <w:szCs w:val="56"/>
        </w:rPr>
        <w:t>湖北省市政工程</w:t>
      </w:r>
      <w:r>
        <w:rPr>
          <w:rFonts w:ascii="方正小标宋_GBK" w:hAnsi="宋体" w:eastAsia="方正小标宋_GBK" w:cs="宋体"/>
          <w:bCs/>
          <w:snapToGrid w:val="0"/>
          <w:spacing w:val="-5"/>
          <w:kern w:val="0"/>
          <w:sz w:val="56"/>
          <w:szCs w:val="56"/>
        </w:rPr>
        <w:t>绿色施工</w:t>
      </w:r>
      <w:r>
        <w:rPr>
          <w:rFonts w:hint="eastAsia" w:ascii="方正小标宋_GBK" w:hAnsi="宋体" w:eastAsia="方正小标宋_GBK" w:cs="宋体"/>
          <w:bCs/>
          <w:snapToGrid w:val="0"/>
          <w:spacing w:val="-5"/>
          <w:kern w:val="0"/>
          <w:sz w:val="56"/>
          <w:szCs w:val="56"/>
        </w:rPr>
        <w:t>过程</w:t>
      </w:r>
    </w:p>
    <w:p>
      <w:pPr>
        <w:spacing w:line="700" w:lineRule="exact"/>
        <w:jc w:val="center"/>
        <w:textAlignment w:val="center"/>
        <w:rPr>
          <w:rFonts w:ascii="方正小标宋_GBK" w:hAnsi="宋体" w:eastAsia="方正小标宋_GBK" w:cs="宋体"/>
          <w:bCs/>
          <w:snapToGrid w:val="0"/>
          <w:spacing w:val="-5"/>
          <w:kern w:val="0"/>
          <w:sz w:val="56"/>
          <w:szCs w:val="56"/>
        </w:rPr>
      </w:pPr>
      <w:r>
        <w:rPr>
          <w:rFonts w:ascii="方正小标宋_GBK" w:hAnsi="宋体" w:eastAsia="方正小标宋_GBK" w:cs="宋体"/>
          <w:bCs/>
          <w:snapToGrid w:val="0"/>
          <w:spacing w:val="-5"/>
          <w:kern w:val="0"/>
          <w:sz w:val="56"/>
          <w:szCs w:val="56"/>
        </w:rPr>
        <w:t>评</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价</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表</w:t>
      </w:r>
      <w:bookmarkEnd w:id="4"/>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800" w:lineRule="exact"/>
        <w:ind w:firstLine="1280" w:firstLineChars="400"/>
        <w:textAlignment w:val="center"/>
        <w:rPr>
          <w:rFonts w:ascii="Times New Roman" w:hAnsi="Times New Roman" w:eastAsia="仿宋_GB2312"/>
          <w:sz w:val="32"/>
          <w:szCs w:val="32"/>
        </w:rPr>
      </w:pPr>
      <w:r>
        <w:rPr>
          <w:rFonts w:hint="eastAsia" w:ascii="Times New Roman" w:hAnsi="Times New Roman" w:eastAsia="仿宋_GB2312"/>
          <w:sz w:val="32"/>
          <w:szCs w:val="32"/>
        </w:rPr>
        <w:t>工程名称</w:t>
      </w:r>
      <w:r>
        <w:rPr>
          <w:rFonts w:ascii="Times New Roman" w:hAnsi="Times New Roman" w:eastAsia="仿宋_GB2312"/>
          <w:sz w:val="32"/>
          <w:szCs w:val="32"/>
        </w:rPr>
        <w:t>：</w:t>
      </w:r>
      <w:r>
        <w:rPr>
          <w:rFonts w:ascii="Times New Roman" w:hAnsi="Times New Roman" w:eastAsia="仿宋_GB2312"/>
          <w:sz w:val="32"/>
          <w:szCs w:val="32"/>
          <w:u w:val="single"/>
        </w:rPr>
        <w:t>　　　　　　　　　　　　　</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申报单位：</w:t>
      </w:r>
      <w:r>
        <w:rPr>
          <w:rFonts w:ascii="Times New Roman" w:hAnsi="Times New Roman" w:eastAsia="仿宋_GB2312"/>
          <w:sz w:val="32"/>
          <w:szCs w:val="32"/>
          <w:u w:val="single"/>
        </w:rPr>
        <w:t>　　　　　　　　　　　　　</w:t>
      </w:r>
      <w:r>
        <w:rPr>
          <w:rFonts w:ascii="Times New Roman" w:hAnsi="Times New Roman" w:eastAsia="仿宋_GB2312"/>
          <w:sz w:val="32"/>
          <w:szCs w:val="32"/>
        </w:rPr>
        <w:t>（公章）</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申请时间：</w:t>
      </w:r>
      <w:r>
        <w:rPr>
          <w:rFonts w:ascii="Times New Roman" w:hAnsi="Times New Roman" w:eastAsia="仿宋_GB2312"/>
          <w:sz w:val="32"/>
          <w:szCs w:val="32"/>
          <w:u w:val="single"/>
        </w:rPr>
        <w:t>　　　　　　</w:t>
      </w:r>
      <w:r>
        <w:rPr>
          <w:rFonts w:hint="eastAsia"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79" w:lineRule="exact"/>
        <w:jc w:val="center"/>
        <w:textAlignment w:val="center"/>
        <w:rPr>
          <w:rFonts w:ascii="楷体_GB2312" w:hAnsi="Times New Roman" w:eastAsia="楷体_GB2312"/>
          <w:snapToGrid w:val="0"/>
          <w:kern w:val="0"/>
          <w:sz w:val="32"/>
          <w:szCs w:val="32"/>
        </w:rPr>
        <w:sectPr>
          <w:footerReference r:id="rId5" w:type="default"/>
          <w:pgSz w:w="11900" w:h="16830"/>
          <w:pgMar w:top="1871" w:right="1531" w:bottom="2211" w:left="1531" w:header="851" w:footer="1531" w:gutter="0"/>
          <w:cols w:space="720" w:num="1"/>
          <w:docGrid w:type="lines" w:linePitch="0" w:charSpace="0"/>
        </w:sectPr>
      </w:pPr>
      <w:r>
        <w:rPr>
          <w:rFonts w:hint="eastAsia" w:ascii="楷体_GB2312" w:hAnsi="Times New Roman" w:eastAsia="楷体_GB2312"/>
          <w:sz w:val="32"/>
          <w:szCs w:val="32"/>
        </w:rPr>
        <w:t>湖北省市政工程协会编制</w:t>
      </w:r>
    </w:p>
    <w:p>
      <w:pPr>
        <w:pStyle w:val="8"/>
        <w:widowControl w:val="0"/>
        <w:overflowPunct w:val="0"/>
        <w:spacing w:before="0" w:beforeAutospacing="0" w:after="0" w:afterAutospacing="0" w:line="579" w:lineRule="exact"/>
        <w:ind w:firstLine="643" w:firstLineChars="200"/>
        <w:jc w:val="both"/>
        <w:textAlignment w:val="center"/>
        <w:rPr>
          <w:rFonts w:ascii="Times New Roman" w:hAnsi="Times New Roman" w:eastAsia="仿宋_GB2312" w:cs="Times New Roman"/>
          <w:b/>
          <w:bCs/>
          <w:sz w:val="32"/>
          <w:szCs w:val="32"/>
        </w:rPr>
      </w:pPr>
    </w:p>
    <w:p>
      <w:pPr>
        <w:overflowPunct w:val="0"/>
        <w:spacing w:line="579" w:lineRule="exact"/>
        <w:ind w:firstLine="760" w:firstLineChars="200"/>
        <w:textAlignment w:val="center"/>
        <w:rPr>
          <w:rFonts w:ascii="方正小标宋_GBK" w:hAnsi="Times New Roman" w:eastAsia="方正小标宋_GBK"/>
          <w:bCs/>
          <w:sz w:val="38"/>
          <w:szCs w:val="38"/>
        </w:rPr>
      </w:pPr>
      <w:r>
        <w:rPr>
          <w:rFonts w:hint="eastAsia" w:ascii="方正小标宋_GBK" w:hAnsi="Times New Roman" w:eastAsia="方正小标宋_GBK"/>
          <w:bCs/>
          <w:sz w:val="38"/>
          <w:szCs w:val="38"/>
        </w:rPr>
        <w:t>湖北省市政工程绿色施工过程评价表用表说明</w:t>
      </w:r>
    </w:p>
    <w:p>
      <w:pPr>
        <w:overflowPunct w:val="0"/>
        <w:spacing w:line="579" w:lineRule="exact"/>
        <w:ind w:firstLine="760" w:firstLineChars="200"/>
        <w:textAlignment w:val="center"/>
        <w:rPr>
          <w:rFonts w:ascii="方正小标宋_GBK" w:hAnsi="Times New Roman" w:eastAsia="方正小标宋_GBK"/>
          <w:bCs/>
          <w:sz w:val="38"/>
          <w:szCs w:val="38"/>
        </w:rPr>
      </w:pP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根据《建筑工程绿色施工评价标准》GB/T50640</w:t>
      </w:r>
      <w:r>
        <w:rPr>
          <w:rFonts w:hint="eastAsia" w:ascii="方正书宋_GBK" w:hAnsi="Times New Roman" w:eastAsia="方正书宋_GBK"/>
          <w:sz w:val="32"/>
          <w:szCs w:val="32"/>
        </w:rPr>
        <w:t>-</w:t>
      </w:r>
      <w:r>
        <w:rPr>
          <w:rFonts w:ascii="Times New Roman" w:hAnsi="Times New Roman" w:eastAsia="仿宋_GB2312"/>
          <w:sz w:val="32"/>
          <w:szCs w:val="32"/>
        </w:rPr>
        <w:t>2010相关规定，绿色施工过程评价包含以下部分：</w:t>
      </w:r>
    </w:p>
    <w:p>
      <w:pPr>
        <w:overflowPunct w:val="0"/>
        <w:spacing w:line="579" w:lineRule="exact"/>
        <w:ind w:firstLine="640" w:firstLineChars="200"/>
        <w:textAlignment w:val="center"/>
        <w:rPr>
          <w:rFonts w:ascii="黑体" w:hAnsi="黑体" w:eastAsia="黑体"/>
          <w:sz w:val="32"/>
          <w:szCs w:val="32"/>
        </w:rPr>
      </w:pPr>
      <w:r>
        <w:rPr>
          <w:rFonts w:ascii="黑体" w:hAnsi="黑体" w:eastAsia="黑体"/>
          <w:sz w:val="32"/>
          <w:szCs w:val="32"/>
        </w:rPr>
        <w:t>一、</w:t>
      </w:r>
      <w:r>
        <w:rPr>
          <w:rFonts w:hint="eastAsia" w:ascii="方正书宋_GBK" w:hAnsi="Times New Roman" w:eastAsia="方正书宋_GBK"/>
          <w:sz w:val="32"/>
          <w:szCs w:val="32"/>
        </w:rPr>
        <w:t>“</w:t>
      </w:r>
      <w:r>
        <w:rPr>
          <w:rFonts w:ascii="黑体" w:hAnsi="黑体" w:eastAsia="黑体"/>
          <w:sz w:val="32"/>
          <w:szCs w:val="32"/>
        </w:rPr>
        <w:t>基本规定</w:t>
      </w:r>
      <w:r>
        <w:rPr>
          <w:rFonts w:hint="eastAsia" w:ascii="方正书宋_GBK" w:hAnsi="Times New Roman" w:eastAsia="方正书宋_GBK"/>
          <w:sz w:val="32"/>
          <w:szCs w:val="32"/>
        </w:rPr>
        <w:t>”</w:t>
      </w:r>
      <w:r>
        <w:rPr>
          <w:rFonts w:ascii="黑体" w:hAnsi="黑体" w:eastAsia="黑体"/>
          <w:sz w:val="32"/>
          <w:szCs w:val="32"/>
        </w:rPr>
        <w:t>检查表</w:t>
      </w:r>
    </w:p>
    <w:p>
      <w:pPr>
        <w:overflowPunct w:val="0"/>
        <w:spacing w:line="579" w:lineRule="exact"/>
        <w:ind w:firstLine="600" w:firstLineChars="200"/>
        <w:textAlignment w:val="center"/>
        <w:rPr>
          <w:rFonts w:ascii="Times New Roman" w:hAnsi="Times New Roman" w:eastAsia="仿宋_GB2312"/>
          <w:spacing w:val="-10"/>
          <w:sz w:val="32"/>
          <w:szCs w:val="32"/>
        </w:rPr>
      </w:pPr>
      <w:r>
        <w:rPr>
          <w:rFonts w:ascii="Times New Roman" w:hAnsi="Times New Roman" w:eastAsia="仿宋_GB2312"/>
          <w:spacing w:val="-10"/>
          <w:sz w:val="32"/>
          <w:szCs w:val="32"/>
        </w:rPr>
        <w:t>首先依据《建筑工程绿色施工评价标准》GB/T50640</w:t>
      </w:r>
      <w:r>
        <w:rPr>
          <w:rFonts w:hint="eastAsia" w:ascii="方正书宋_GBK" w:hAnsi="Times New Roman" w:eastAsia="方正书宋_GBK"/>
          <w:spacing w:val="-10"/>
          <w:sz w:val="32"/>
          <w:szCs w:val="32"/>
        </w:rPr>
        <w:t>-</w:t>
      </w:r>
      <w:r>
        <w:rPr>
          <w:rFonts w:ascii="Times New Roman" w:hAnsi="Times New Roman" w:eastAsia="仿宋_GB2312"/>
          <w:spacing w:val="-10"/>
          <w:sz w:val="32"/>
          <w:szCs w:val="32"/>
        </w:rPr>
        <w:t>2010第三章</w:t>
      </w:r>
      <w:r>
        <w:rPr>
          <w:rFonts w:hint="eastAsia" w:ascii="方正书宋_GBK" w:hAnsi="Times New Roman" w:eastAsia="方正书宋_GBK"/>
          <w:spacing w:val="-10"/>
          <w:sz w:val="32"/>
          <w:szCs w:val="32"/>
        </w:rPr>
        <w:t>“</w:t>
      </w:r>
      <w:r>
        <w:rPr>
          <w:rFonts w:ascii="Times New Roman" w:hAnsi="Times New Roman" w:eastAsia="仿宋_GB2312"/>
          <w:spacing w:val="-10"/>
          <w:sz w:val="32"/>
          <w:szCs w:val="32"/>
        </w:rPr>
        <w:t>基本规定</w:t>
      </w:r>
      <w:r>
        <w:rPr>
          <w:rFonts w:hint="eastAsia" w:ascii="方正书宋_GBK" w:hAnsi="Times New Roman" w:eastAsia="方正书宋_GBK"/>
          <w:spacing w:val="-10"/>
          <w:sz w:val="32"/>
          <w:szCs w:val="32"/>
        </w:rPr>
        <w:t>”</w:t>
      </w:r>
      <w:r>
        <w:rPr>
          <w:rFonts w:ascii="Times New Roman" w:hAnsi="Times New Roman" w:eastAsia="仿宋_GB2312"/>
          <w:spacing w:val="-10"/>
          <w:sz w:val="32"/>
          <w:szCs w:val="32"/>
        </w:rPr>
        <w:t>对项目进行检查，填写基本规定检查表（附表1）。</w:t>
      </w:r>
      <w:r>
        <w:rPr>
          <w:rFonts w:ascii="Times New Roman" w:hAnsi="Times New Roman" w:eastAsia="仿宋_GB2312"/>
          <w:spacing w:val="-12"/>
          <w:sz w:val="32"/>
          <w:szCs w:val="32"/>
        </w:rPr>
        <w:t>满足</w:t>
      </w:r>
      <w:r>
        <w:rPr>
          <w:rFonts w:hint="eastAsia" w:ascii="方正书宋_GBK" w:hAnsi="Times New Roman" w:eastAsia="方正书宋_GBK"/>
          <w:spacing w:val="-12"/>
          <w:sz w:val="32"/>
          <w:szCs w:val="32"/>
        </w:rPr>
        <w:t>“</w:t>
      </w:r>
      <w:r>
        <w:rPr>
          <w:rFonts w:ascii="Times New Roman" w:hAnsi="Times New Roman" w:eastAsia="仿宋_GB2312"/>
          <w:spacing w:val="-12"/>
          <w:sz w:val="32"/>
          <w:szCs w:val="32"/>
        </w:rPr>
        <w:t>基本规定</w:t>
      </w:r>
      <w:r>
        <w:rPr>
          <w:rFonts w:hint="eastAsia" w:ascii="方正书宋_GBK" w:hAnsi="Times New Roman" w:eastAsia="方正书宋_GBK"/>
          <w:spacing w:val="-12"/>
          <w:sz w:val="32"/>
          <w:szCs w:val="32"/>
        </w:rPr>
        <w:t>”</w:t>
      </w:r>
      <w:r>
        <w:rPr>
          <w:rFonts w:ascii="Times New Roman" w:hAnsi="Times New Roman" w:eastAsia="仿宋_GB2312"/>
          <w:spacing w:val="-12"/>
          <w:sz w:val="32"/>
          <w:szCs w:val="32"/>
        </w:rPr>
        <w:t>要求且措施到位，则进入绿色施工要素</w:t>
      </w:r>
      <w:r>
        <w:rPr>
          <w:rFonts w:hint="eastAsia" w:ascii="方正书宋_GBK" w:hAnsi="Times New Roman" w:eastAsia="方正书宋_GBK"/>
          <w:spacing w:val="-12"/>
          <w:sz w:val="32"/>
          <w:szCs w:val="32"/>
        </w:rPr>
        <w:t>“</w:t>
      </w:r>
      <w:r>
        <w:rPr>
          <w:rFonts w:ascii="Times New Roman" w:hAnsi="Times New Roman" w:eastAsia="仿宋_GB2312"/>
          <w:spacing w:val="-12"/>
          <w:sz w:val="32"/>
          <w:szCs w:val="32"/>
        </w:rPr>
        <w:t>四节一环保</w:t>
      </w:r>
      <w:r>
        <w:rPr>
          <w:rFonts w:hint="eastAsia" w:ascii="方正书宋_GBK" w:hAnsi="Times New Roman" w:eastAsia="方正书宋_GBK"/>
          <w:spacing w:val="-12"/>
          <w:sz w:val="32"/>
          <w:szCs w:val="32"/>
        </w:rPr>
        <w:t>”</w:t>
      </w:r>
      <w:r>
        <w:rPr>
          <w:rFonts w:ascii="Times New Roman" w:hAnsi="Times New Roman" w:eastAsia="仿宋_GB2312"/>
          <w:spacing w:val="-12"/>
          <w:sz w:val="32"/>
          <w:szCs w:val="32"/>
        </w:rPr>
        <w:t>评价流程；否则，为非绿色施工项目，可终止检查。</w:t>
      </w:r>
    </w:p>
    <w:p>
      <w:pPr>
        <w:overflowPunct w:val="0"/>
        <w:spacing w:line="579" w:lineRule="exact"/>
        <w:ind w:firstLine="640" w:firstLineChars="200"/>
        <w:textAlignment w:val="center"/>
        <w:rPr>
          <w:rFonts w:ascii="黑体" w:hAnsi="黑体" w:eastAsia="黑体"/>
          <w:sz w:val="32"/>
          <w:szCs w:val="32"/>
        </w:rPr>
      </w:pPr>
      <w:r>
        <w:rPr>
          <w:rFonts w:ascii="黑体" w:hAnsi="黑体" w:eastAsia="黑体"/>
          <w:sz w:val="32"/>
          <w:szCs w:val="32"/>
        </w:rPr>
        <w:t>二、要素评价表</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依据《建筑工程绿色施工评价标准》GB/T50640</w:t>
      </w:r>
      <w:r>
        <w:rPr>
          <w:rFonts w:hint="eastAsia" w:ascii="方正书宋_GBK" w:hAnsi="Times New Roman" w:eastAsia="方正书宋_GBK"/>
          <w:sz w:val="32"/>
          <w:szCs w:val="32"/>
        </w:rPr>
        <w:t>-</w:t>
      </w:r>
      <w:r>
        <w:rPr>
          <w:rFonts w:ascii="Times New Roman" w:hAnsi="Times New Roman" w:eastAsia="仿宋_GB2312"/>
          <w:sz w:val="32"/>
          <w:szCs w:val="32"/>
        </w:rPr>
        <w:t>2010</w:t>
      </w:r>
      <w:r>
        <w:rPr>
          <w:rFonts w:hint="eastAsia" w:ascii="方正书宋_GBK" w:hAnsi="Times New Roman" w:eastAsia="方正书宋_GBK"/>
          <w:sz w:val="32"/>
          <w:szCs w:val="32"/>
        </w:rPr>
        <w:t>“</w:t>
      </w:r>
      <w:r>
        <w:rPr>
          <w:rFonts w:ascii="Times New Roman" w:hAnsi="Times New Roman" w:eastAsia="仿宋_GB2312"/>
          <w:sz w:val="32"/>
          <w:szCs w:val="32"/>
        </w:rPr>
        <w:t>四节一环保</w:t>
      </w:r>
      <w:r>
        <w:rPr>
          <w:rFonts w:hint="eastAsia" w:ascii="方正书宋_GBK" w:hAnsi="Times New Roman" w:eastAsia="方正书宋_GBK"/>
          <w:sz w:val="32"/>
          <w:szCs w:val="32"/>
        </w:rPr>
        <w:t>”</w:t>
      </w:r>
      <w:r>
        <w:rPr>
          <w:rFonts w:ascii="Times New Roman" w:hAnsi="Times New Roman" w:eastAsia="仿宋_GB2312"/>
          <w:sz w:val="32"/>
          <w:szCs w:val="32"/>
        </w:rPr>
        <w:t>要素进行现场评价，填写要素评价表（附表2）。先应针对控制项进行评价，当控制项全部满足要求且措施到位时，进入一般项和优选项的评价流程，否则，为非绿色工程项目，可终止检查。不参评条款打</w:t>
      </w:r>
      <w:r>
        <w:rPr>
          <w:rFonts w:hint="eastAsia" w:ascii="方正书宋_GBK" w:hAnsi="Times New Roman" w:eastAsia="方正书宋_GBK"/>
          <w:sz w:val="32"/>
          <w:szCs w:val="32"/>
        </w:rPr>
        <w:t>“</w:t>
      </w:r>
      <w:r>
        <w:rPr>
          <w:rFonts w:hint="eastAsia" w:ascii="Times New Roman" w:hAnsi="Times New Roman" w:eastAsia="仿宋_GB2312"/>
          <w:sz w:val="32"/>
          <w:szCs w:val="32"/>
        </w:rPr>
        <w:t>／</w:t>
      </w:r>
      <w:r>
        <w:rPr>
          <w:rFonts w:hint="eastAsia" w:ascii="方正书宋_GBK" w:hAnsi="Times New Roman" w:eastAsia="方正书宋_GBK"/>
          <w:sz w:val="32"/>
          <w:szCs w:val="32"/>
        </w:rPr>
        <w:t>”</w:t>
      </w:r>
      <w:r>
        <w:rPr>
          <w:rFonts w:ascii="Times New Roman" w:hAnsi="Times New Roman" w:eastAsia="仿宋_GB2312"/>
          <w:sz w:val="32"/>
          <w:szCs w:val="32"/>
        </w:rPr>
        <w:t>。</w:t>
      </w:r>
    </w:p>
    <w:p>
      <w:pPr>
        <w:overflowPunct w:val="0"/>
        <w:spacing w:line="579" w:lineRule="exact"/>
        <w:ind w:firstLine="640" w:firstLineChars="200"/>
        <w:textAlignment w:val="center"/>
        <w:rPr>
          <w:rFonts w:ascii="黑体" w:hAnsi="黑体" w:eastAsia="黑体"/>
          <w:sz w:val="32"/>
          <w:szCs w:val="32"/>
        </w:rPr>
      </w:pPr>
      <w:r>
        <w:rPr>
          <w:rFonts w:ascii="黑体" w:hAnsi="黑体" w:eastAsia="黑体"/>
          <w:sz w:val="32"/>
          <w:szCs w:val="32"/>
        </w:rPr>
        <w:t>三、批次评价表</w:t>
      </w:r>
    </w:p>
    <w:p>
      <w:pPr>
        <w:overflowPunct w:val="0"/>
        <w:spacing w:line="579" w:lineRule="exact"/>
        <w:ind w:firstLine="616" w:firstLineChars="200"/>
        <w:textAlignment w:val="center"/>
        <w:rPr>
          <w:rFonts w:ascii="Times New Roman" w:hAnsi="Times New Roman" w:eastAsia="仿宋_GB2312"/>
          <w:spacing w:val="-6"/>
          <w:sz w:val="32"/>
          <w:szCs w:val="32"/>
        </w:rPr>
      </w:pPr>
      <w:r>
        <w:rPr>
          <w:rFonts w:ascii="Times New Roman" w:hAnsi="Times New Roman" w:eastAsia="仿宋_GB2312"/>
          <w:spacing w:val="-6"/>
          <w:sz w:val="32"/>
          <w:szCs w:val="32"/>
        </w:rPr>
        <w:t>依据《建筑工程绿色施工评价标准》GB/T50640</w:t>
      </w:r>
      <w:r>
        <w:rPr>
          <w:rFonts w:hint="eastAsia" w:ascii="方正书宋_GBK" w:hAnsi="Times New Roman" w:eastAsia="方正书宋_GBK"/>
          <w:spacing w:val="-6"/>
          <w:sz w:val="32"/>
          <w:szCs w:val="32"/>
        </w:rPr>
        <w:t>-</w:t>
      </w:r>
      <w:r>
        <w:rPr>
          <w:rFonts w:ascii="Times New Roman" w:hAnsi="Times New Roman" w:eastAsia="仿宋_GB2312"/>
          <w:spacing w:val="-6"/>
          <w:sz w:val="32"/>
          <w:szCs w:val="32"/>
        </w:rPr>
        <w:t>2010</w:t>
      </w:r>
      <w:r>
        <w:rPr>
          <w:rFonts w:hint="eastAsia" w:ascii="方正书宋_GBK" w:hAnsi="Times New Roman" w:eastAsia="方正书宋_GBK"/>
          <w:spacing w:val="-6"/>
          <w:sz w:val="32"/>
          <w:szCs w:val="32"/>
        </w:rPr>
        <w:t>“</w:t>
      </w:r>
      <w:r>
        <w:rPr>
          <w:rFonts w:ascii="Times New Roman" w:hAnsi="Times New Roman" w:eastAsia="仿宋_GB2312"/>
          <w:spacing w:val="-6"/>
          <w:sz w:val="32"/>
          <w:szCs w:val="32"/>
        </w:rPr>
        <w:t>绿色施工过程评价</w:t>
      </w:r>
      <w:r>
        <w:rPr>
          <w:rFonts w:hint="eastAsia" w:ascii="方正书宋_GBK" w:hAnsi="Times New Roman" w:eastAsia="方正书宋_GBK"/>
          <w:spacing w:val="-6"/>
          <w:sz w:val="32"/>
          <w:szCs w:val="32"/>
        </w:rPr>
        <w:t>”</w:t>
      </w:r>
      <w:r>
        <w:rPr>
          <w:rFonts w:ascii="Times New Roman" w:hAnsi="Times New Roman" w:eastAsia="仿宋_GB2312"/>
          <w:spacing w:val="-6"/>
          <w:sz w:val="32"/>
          <w:szCs w:val="32"/>
        </w:rPr>
        <w:t>进行汇总，填写过程评价汇总表（附表3）。</w:t>
      </w:r>
    </w:p>
    <w:p>
      <w:pPr>
        <w:overflowPunct w:val="0"/>
        <w:spacing w:line="579" w:lineRule="exact"/>
        <w:ind w:firstLine="640" w:firstLineChars="200"/>
        <w:textAlignment w:val="center"/>
        <w:rPr>
          <w:rFonts w:ascii="黑体" w:hAnsi="黑体" w:eastAsia="黑体"/>
          <w:sz w:val="32"/>
          <w:szCs w:val="32"/>
        </w:rPr>
      </w:pPr>
      <w:r>
        <w:rPr>
          <w:rFonts w:ascii="黑体" w:hAnsi="黑体" w:eastAsia="黑体"/>
          <w:sz w:val="32"/>
          <w:szCs w:val="32"/>
        </w:rPr>
        <w:t>四、项目实施过程评价综合情况</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根据项目实施过程检查情况，专家组提交市政工程绿色施工过程评价意见，指导绿色施工单位整改。</w:t>
      </w:r>
      <w:r>
        <w:rPr>
          <w:rFonts w:ascii="华文中宋" w:hAnsi="华文中宋" w:eastAsia="华文中宋"/>
          <w:sz w:val="28"/>
          <w:szCs w:val="28"/>
        </w:rPr>
        <w:br w:type="page"/>
      </w:r>
    </w:p>
    <w:p>
      <w:pPr>
        <w:spacing w:line="579" w:lineRule="exact"/>
        <w:textAlignment w:val="center"/>
        <w:rPr>
          <w:rFonts w:ascii="Times New Roman" w:hAnsi="Times New Roman" w:eastAsia="黑体"/>
          <w:sz w:val="32"/>
        </w:rPr>
      </w:pPr>
      <w:r>
        <w:rPr>
          <w:rFonts w:hint="eastAsia" w:ascii="Times New Roman" w:hAnsi="Times New Roman" w:eastAsia="黑体"/>
          <w:sz w:val="32"/>
        </w:rPr>
        <w:t>附表1</w:t>
      </w:r>
    </w:p>
    <w:p>
      <w:pPr>
        <w:spacing w:before="192" w:beforeLines="80" w:after="192" w:afterLines="80" w:line="579" w:lineRule="exact"/>
        <w:jc w:val="center"/>
        <w:rPr>
          <w:rFonts w:ascii="方正小标宋_GBK" w:hAnsi="华文中宋" w:eastAsia="方正小标宋_GBK"/>
          <w:sz w:val="38"/>
          <w:szCs w:val="38"/>
        </w:rPr>
      </w:pPr>
      <w:r>
        <w:rPr>
          <w:rFonts w:hint="eastAsia" w:ascii="方正书宋_GBK" w:hAnsi="华文中宋" w:eastAsia="方正书宋_GBK"/>
          <w:sz w:val="38"/>
          <w:szCs w:val="38"/>
        </w:rPr>
        <w:t>“</w:t>
      </w:r>
      <w:r>
        <w:rPr>
          <w:rFonts w:hint="eastAsia" w:ascii="方正小标宋_GBK" w:hAnsi="华文中宋" w:eastAsia="方正小标宋_GBK"/>
          <w:sz w:val="38"/>
          <w:szCs w:val="38"/>
        </w:rPr>
        <w:t>基本规定</w:t>
      </w:r>
      <w:r>
        <w:rPr>
          <w:rFonts w:hint="eastAsia" w:ascii="方正书宋_GBK" w:hAnsi="华文中宋" w:eastAsia="方正书宋_GBK"/>
          <w:sz w:val="38"/>
          <w:szCs w:val="38"/>
        </w:rPr>
        <w:t>”</w:t>
      </w:r>
      <w:r>
        <w:rPr>
          <w:rFonts w:hint="eastAsia" w:ascii="方正小标宋_GBK" w:hAnsi="华文中宋" w:eastAsia="方正小标宋_GBK"/>
          <w:sz w:val="38"/>
          <w:szCs w:val="38"/>
        </w:rPr>
        <w:t>检查表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03"/>
        <w:gridCol w:w="1064"/>
        <w:gridCol w:w="4353"/>
        <w:gridCol w:w="183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931" w:type="pct"/>
            <w:gridSpan w:val="2"/>
            <w:tcBorders>
              <w:top w:val="single" w:color="auto" w:sz="8"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2431" w:type="pct"/>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024" w:type="pct"/>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613" w:type="pct"/>
            <w:tcBorders>
              <w:top w:val="single" w:color="auto" w:sz="8"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931" w:type="pct"/>
            <w:gridSpan w:val="2"/>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2431"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024"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专家组长签字</w:t>
            </w: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931" w:type="pct"/>
            <w:gridSpan w:val="2"/>
            <w:tcBorders>
              <w:top w:val="single" w:color="auto" w:sz="2" w:space="0"/>
              <w:left w:val="single" w:color="auto" w:sz="8"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2431" w:type="pct"/>
            <w:tcBorders>
              <w:top w:val="single" w:color="auto" w:sz="2" w:space="0"/>
              <w:left w:val="single" w:color="auto" w:sz="2"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024" w:type="pct"/>
            <w:tcBorders>
              <w:top w:val="single" w:color="auto" w:sz="2" w:space="0"/>
              <w:left w:val="single" w:color="auto" w:sz="2"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613" w:type="pct"/>
            <w:tcBorders>
              <w:top w:val="single" w:color="auto" w:sz="2" w:space="0"/>
              <w:left w:val="single" w:color="auto" w:sz="2" w:space="0"/>
              <w:bottom w:val="single" w:color="auto" w:sz="8"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8"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条文编号</w:t>
            </w:r>
          </w:p>
        </w:tc>
        <w:tc>
          <w:tcPr>
            <w:tcW w:w="3025" w:type="pct"/>
            <w:gridSpan w:val="2"/>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条文内容</w:t>
            </w:r>
          </w:p>
        </w:tc>
        <w:tc>
          <w:tcPr>
            <w:tcW w:w="1024" w:type="pct"/>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判定方法</w:t>
            </w:r>
          </w:p>
        </w:tc>
        <w:tc>
          <w:tcPr>
            <w:tcW w:w="613" w:type="pct"/>
            <w:tcBorders>
              <w:top w:val="single" w:color="auto" w:sz="8"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3</w:t>
            </w:r>
            <w:r>
              <w:rPr>
                <w:rFonts w:ascii="Times New Roman" w:hAnsi="Times New Roman"/>
                <w:b/>
                <w:bCs/>
                <w:kern w:val="0"/>
                <w:sz w:val="24"/>
              </w:rPr>
              <w:t>.</w:t>
            </w: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2</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r>
              <w:rPr>
                <w:rFonts w:ascii="Times New Roman" w:hAnsi="Times New Roman" w:eastAsia="仿宋_GB2312"/>
                <w:b/>
                <w:bCs/>
                <w:kern w:val="0"/>
                <w:sz w:val="24"/>
              </w:rPr>
              <w:t>绿色施工项目应符合以下规定：</w:t>
            </w:r>
          </w:p>
        </w:tc>
        <w:tc>
          <w:tcPr>
            <w:tcW w:w="1024" w:type="pct"/>
            <w:vMerge w:val="restart"/>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措施到位，全部满足《基本内容》要求时，</w:t>
            </w:r>
            <w:r>
              <w:rPr>
                <w:rFonts w:ascii="Times New Roman" w:hAnsi="Times New Roman" w:eastAsia="仿宋_GB2312"/>
                <w:spacing w:val="-10"/>
                <w:sz w:val="24"/>
              </w:rPr>
              <w:t>进入</w:t>
            </w:r>
            <w:r>
              <w:rPr>
                <w:rFonts w:hint="eastAsia" w:ascii="方正书宋_GBK" w:hAnsi="Times New Roman" w:eastAsia="方正书宋_GBK"/>
                <w:spacing w:val="-10"/>
                <w:sz w:val="24"/>
              </w:rPr>
              <w:t>“</w:t>
            </w:r>
            <w:r>
              <w:rPr>
                <w:rFonts w:ascii="Times New Roman" w:hAnsi="Times New Roman" w:eastAsia="仿宋_GB2312"/>
                <w:spacing w:val="-10"/>
                <w:sz w:val="24"/>
              </w:rPr>
              <w:t>四节一环保</w:t>
            </w:r>
            <w:r>
              <w:rPr>
                <w:rFonts w:hint="eastAsia" w:ascii="方正书宋_GBK" w:hAnsi="Times New Roman" w:eastAsia="方正书宋_GBK"/>
                <w:spacing w:val="-10"/>
                <w:sz w:val="24"/>
              </w:rPr>
              <w:t>”</w:t>
            </w:r>
            <w:r>
              <w:rPr>
                <w:rFonts w:ascii="Times New Roman" w:hAnsi="Times New Roman" w:eastAsia="仿宋_GB2312"/>
                <w:spacing w:val="-10"/>
                <w:sz w:val="24"/>
              </w:rPr>
              <w:t>的要素评价流程</w:t>
            </w:r>
            <w:r>
              <w:rPr>
                <w:rFonts w:ascii="Times New Roman" w:hAnsi="Times New Roman" w:eastAsia="仿宋_GB2312"/>
                <w:spacing w:val="-10"/>
                <w:kern w:val="0"/>
                <w:sz w:val="24"/>
              </w:rPr>
              <w:t>；否则，为非绿色施工项目。</w:t>
            </w: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1</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spacing w:val="-6"/>
                <w:kern w:val="0"/>
                <w:sz w:val="24"/>
              </w:rPr>
            </w:pPr>
            <w:r>
              <w:rPr>
                <w:rFonts w:ascii="Times New Roman" w:hAnsi="Times New Roman" w:eastAsia="仿宋_GB2312"/>
                <w:bCs/>
                <w:spacing w:val="-6"/>
                <w:kern w:val="0"/>
                <w:sz w:val="24"/>
              </w:rPr>
              <w:t>建立绿色施工管理体系和管理制度，实施目标管理。</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2</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根据绿色施工要求进行图纸会审和深化设计。</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3</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施工组织设计即施工方案应有专门的绿色施工章节，绿色施工目标明确，内容应涵盖</w:t>
            </w:r>
            <w:r>
              <w:rPr>
                <w:rFonts w:hint="eastAsia" w:ascii="方正书宋_GBK" w:hAnsi="Times New Roman" w:eastAsia="方正书宋_GBK"/>
                <w:bCs/>
                <w:kern w:val="0"/>
                <w:sz w:val="24"/>
              </w:rPr>
              <w:t>“</w:t>
            </w:r>
            <w:r>
              <w:rPr>
                <w:rFonts w:ascii="Times New Roman" w:hAnsi="Times New Roman" w:eastAsia="仿宋_GB2312"/>
                <w:bCs/>
                <w:kern w:val="0"/>
                <w:sz w:val="24"/>
              </w:rPr>
              <w:t>四节一环保</w:t>
            </w:r>
            <w:r>
              <w:rPr>
                <w:rFonts w:hint="eastAsia" w:ascii="方正书宋_GBK" w:hAnsi="Times New Roman" w:eastAsia="方正书宋_GBK"/>
                <w:bCs/>
                <w:kern w:val="0"/>
                <w:sz w:val="24"/>
              </w:rPr>
              <w:t>”</w:t>
            </w:r>
            <w:r>
              <w:rPr>
                <w:rFonts w:ascii="Times New Roman" w:hAnsi="Times New Roman" w:eastAsia="仿宋_GB2312"/>
                <w:bCs/>
                <w:kern w:val="0"/>
                <w:sz w:val="24"/>
              </w:rPr>
              <w:t>要求。</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4</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工程技术交底应包含绿色施工内容。</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5</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采用符合绿色施工要求的新材料、新技术、新工艺、新机具进行施工。</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6</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建立绿色施工培训制度，并有实施记录。</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7</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根据检查情况，制定持续改进措施。</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8</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采集和保存过程管理资料，见证资料和自检评价记录等绿色施工资料。</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9</w:t>
            </w:r>
          </w:p>
        </w:tc>
        <w:tc>
          <w:tcPr>
            <w:tcW w:w="3025" w:type="pct"/>
            <w:gridSpan w:val="2"/>
            <w:tcBorders>
              <w:top w:val="single" w:color="auto" w:sz="2" w:space="0"/>
              <w:left w:val="single" w:color="auto" w:sz="2" w:space="0"/>
              <w:bottom w:val="single" w:color="auto" w:sz="8"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在评价过程中，应采集反映绿色施工水平的典型图片或影像资料。</w:t>
            </w:r>
          </w:p>
        </w:tc>
        <w:tc>
          <w:tcPr>
            <w:tcW w:w="1024" w:type="pct"/>
            <w:vMerge w:val="continue"/>
            <w:tcBorders>
              <w:top w:val="single" w:color="auto" w:sz="2" w:space="0"/>
              <w:left w:val="single" w:color="auto" w:sz="2" w:space="0"/>
              <w:bottom w:val="single" w:color="auto" w:sz="8" w:space="0"/>
              <w:right w:val="single" w:color="auto" w:sz="2" w:space="0"/>
            </w:tcBorders>
            <w:vAlign w:val="center"/>
          </w:tcPr>
          <w:p>
            <w:pPr>
              <w:overflowPunct w:val="0"/>
              <w:spacing w:line="320" w:lineRule="exact"/>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8"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8"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3</w:t>
            </w:r>
            <w:r>
              <w:rPr>
                <w:rFonts w:ascii="Times New Roman" w:hAnsi="Times New Roman"/>
                <w:b/>
                <w:bCs/>
                <w:kern w:val="0"/>
                <w:sz w:val="24"/>
              </w:rPr>
              <w:t>.</w:t>
            </w: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3</w:t>
            </w:r>
          </w:p>
        </w:tc>
        <w:tc>
          <w:tcPr>
            <w:tcW w:w="3025" w:type="pct"/>
            <w:gridSpan w:val="2"/>
            <w:tcBorders>
              <w:top w:val="single" w:color="auto" w:sz="8"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
                <w:bCs/>
                <w:spacing w:val="-6"/>
                <w:kern w:val="0"/>
                <w:sz w:val="24"/>
              </w:rPr>
            </w:pPr>
            <w:r>
              <w:rPr>
                <w:rFonts w:ascii="Times New Roman" w:hAnsi="Times New Roman" w:eastAsia="仿宋_GB2312"/>
                <w:b/>
                <w:bCs/>
                <w:spacing w:val="-6"/>
                <w:kern w:val="0"/>
                <w:sz w:val="24"/>
              </w:rPr>
              <w:t>发生下列事故之一，不得评为绿色施工合格项目</w:t>
            </w:r>
          </w:p>
        </w:tc>
        <w:tc>
          <w:tcPr>
            <w:tcW w:w="1024" w:type="pct"/>
            <w:vMerge w:val="restart"/>
            <w:tcBorders>
              <w:top w:val="single" w:color="auto" w:sz="8"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spacing w:val="-10"/>
                <w:kern w:val="0"/>
                <w:sz w:val="24"/>
              </w:rPr>
            </w:pPr>
            <w:r>
              <w:rPr>
                <w:rFonts w:hint="eastAsia" w:ascii="方正书宋_GBK" w:hAnsi="Times New Roman" w:eastAsia="方正书宋_GBK"/>
                <w:spacing w:val="-10"/>
                <w:kern w:val="0"/>
                <w:sz w:val="24"/>
              </w:rPr>
              <w:t>“</w:t>
            </w:r>
            <w:r>
              <w:rPr>
                <w:rFonts w:ascii="Times New Roman" w:hAnsi="Times New Roman" w:eastAsia="仿宋_GB2312"/>
                <w:spacing w:val="-10"/>
                <w:kern w:val="0"/>
                <w:sz w:val="24"/>
              </w:rPr>
              <w:t>全部未发生</w:t>
            </w:r>
            <w:r>
              <w:rPr>
                <w:rFonts w:hint="eastAsia" w:ascii="方正书宋_GBK" w:hAnsi="Times New Roman" w:eastAsia="方正书宋_GBK"/>
                <w:spacing w:val="-10"/>
                <w:kern w:val="0"/>
                <w:sz w:val="24"/>
              </w:rPr>
              <w:t>”</w:t>
            </w:r>
            <w:r>
              <w:rPr>
                <w:rFonts w:ascii="Times New Roman" w:hAnsi="Times New Roman" w:eastAsia="仿宋_GB2312"/>
                <w:spacing w:val="-10"/>
                <w:kern w:val="0"/>
                <w:sz w:val="24"/>
              </w:rPr>
              <w:t>即没有发生任何一项事故，全部满足要求时，</w:t>
            </w:r>
            <w:r>
              <w:rPr>
                <w:rFonts w:ascii="Times New Roman" w:hAnsi="Times New Roman" w:eastAsia="仿宋_GB2312"/>
                <w:spacing w:val="-10"/>
                <w:sz w:val="24"/>
              </w:rPr>
              <w:t>进入</w:t>
            </w:r>
            <w:r>
              <w:rPr>
                <w:rFonts w:hint="eastAsia" w:ascii="方正书宋_GBK" w:hAnsi="Times New Roman" w:eastAsia="方正书宋_GBK"/>
                <w:spacing w:val="-10"/>
                <w:sz w:val="24"/>
              </w:rPr>
              <w:t>“</w:t>
            </w:r>
            <w:r>
              <w:rPr>
                <w:rFonts w:ascii="Times New Roman" w:hAnsi="Times New Roman" w:eastAsia="仿宋_GB2312"/>
                <w:spacing w:val="-10"/>
                <w:sz w:val="24"/>
              </w:rPr>
              <w:t>四节一环保</w:t>
            </w:r>
            <w:r>
              <w:rPr>
                <w:rFonts w:hint="eastAsia" w:ascii="方正书宋_GBK" w:hAnsi="Times New Roman" w:eastAsia="方正书宋_GBK"/>
                <w:spacing w:val="-10"/>
                <w:sz w:val="24"/>
              </w:rPr>
              <w:t>”</w:t>
            </w:r>
            <w:r>
              <w:rPr>
                <w:rFonts w:ascii="Times New Roman" w:hAnsi="Times New Roman" w:eastAsia="仿宋_GB2312"/>
                <w:spacing w:val="-10"/>
                <w:sz w:val="24"/>
              </w:rPr>
              <w:t>的要素评价流程</w:t>
            </w:r>
            <w:r>
              <w:rPr>
                <w:rFonts w:ascii="Times New Roman" w:hAnsi="Times New Roman" w:eastAsia="仿宋_GB2312"/>
                <w:spacing w:val="-10"/>
                <w:kern w:val="0"/>
                <w:sz w:val="24"/>
              </w:rPr>
              <w:t>；否则，为非绿色施工项目。</w:t>
            </w:r>
          </w:p>
        </w:tc>
        <w:tc>
          <w:tcPr>
            <w:tcW w:w="613" w:type="pct"/>
            <w:tcBorders>
              <w:top w:val="single" w:color="auto" w:sz="8"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1</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发生安全生产死亡事故。</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2</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发生重大质量事故，并造成严重影响。</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3</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发生群体传染病、食物中毒等责任事故。</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4</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spacing w:val="-6"/>
                <w:kern w:val="0"/>
                <w:sz w:val="24"/>
              </w:rPr>
            </w:pPr>
            <w:r>
              <w:rPr>
                <w:rFonts w:ascii="Times New Roman" w:hAnsi="Times New Roman" w:eastAsia="仿宋_GB2312"/>
                <w:bCs/>
                <w:spacing w:val="-6"/>
                <w:kern w:val="0"/>
                <w:sz w:val="24"/>
              </w:rPr>
              <w:t>施工中因</w:t>
            </w:r>
            <w:r>
              <w:rPr>
                <w:rFonts w:hint="eastAsia" w:ascii="方正书宋_GBK" w:hAnsi="Times New Roman" w:eastAsia="方正书宋_GBK"/>
                <w:bCs/>
                <w:spacing w:val="-6"/>
                <w:kern w:val="0"/>
                <w:sz w:val="24"/>
              </w:rPr>
              <w:t>“</w:t>
            </w:r>
            <w:r>
              <w:rPr>
                <w:rFonts w:ascii="Times New Roman" w:hAnsi="Times New Roman" w:eastAsia="仿宋_GB2312"/>
                <w:bCs/>
                <w:spacing w:val="-6"/>
                <w:kern w:val="0"/>
                <w:sz w:val="24"/>
              </w:rPr>
              <w:t>四节一环保</w:t>
            </w:r>
            <w:r>
              <w:rPr>
                <w:rFonts w:hint="eastAsia" w:ascii="方正书宋_GBK" w:hAnsi="Times New Roman" w:eastAsia="方正书宋_GBK"/>
                <w:bCs/>
                <w:spacing w:val="-6"/>
                <w:kern w:val="0"/>
                <w:sz w:val="24"/>
              </w:rPr>
              <w:t>”</w:t>
            </w:r>
            <w:r>
              <w:rPr>
                <w:rFonts w:ascii="Times New Roman" w:hAnsi="Times New Roman" w:eastAsia="仿宋_GB2312"/>
                <w:bCs/>
                <w:spacing w:val="-6"/>
                <w:kern w:val="0"/>
                <w:sz w:val="24"/>
              </w:rPr>
              <w:t>问题被政府管理部门处罚。</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5</w:t>
            </w:r>
          </w:p>
        </w:tc>
        <w:tc>
          <w:tcPr>
            <w:tcW w:w="3025"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违反国家有关</w:t>
            </w:r>
            <w:r>
              <w:rPr>
                <w:rFonts w:hint="eastAsia" w:ascii="方正书宋_GBK" w:hAnsi="Times New Roman" w:eastAsia="方正书宋_GBK"/>
                <w:bCs/>
                <w:kern w:val="0"/>
                <w:sz w:val="24"/>
              </w:rPr>
              <w:t>“</w:t>
            </w:r>
            <w:r>
              <w:rPr>
                <w:rFonts w:ascii="Times New Roman" w:hAnsi="Times New Roman" w:eastAsia="仿宋_GB2312"/>
                <w:bCs/>
                <w:kern w:val="0"/>
                <w:sz w:val="24"/>
              </w:rPr>
              <w:t>四节一环保</w:t>
            </w:r>
            <w:r>
              <w:rPr>
                <w:rFonts w:hint="eastAsia" w:ascii="方正书宋_GBK" w:hAnsi="Times New Roman" w:eastAsia="方正书宋_GBK"/>
                <w:bCs/>
                <w:kern w:val="0"/>
                <w:sz w:val="24"/>
              </w:rPr>
              <w:t>”</w:t>
            </w:r>
            <w:r>
              <w:rPr>
                <w:rFonts w:ascii="Times New Roman" w:hAnsi="Times New Roman" w:eastAsia="仿宋_GB2312"/>
                <w:bCs/>
                <w:kern w:val="0"/>
                <w:sz w:val="24"/>
              </w:rPr>
              <w:t>的法律法规，造成严重社会影响。</w:t>
            </w:r>
          </w:p>
        </w:tc>
        <w:tc>
          <w:tcPr>
            <w:tcW w:w="1024" w:type="pct"/>
            <w:vMerge w:val="continue"/>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37" w:type="pct"/>
            <w:tcBorders>
              <w:top w:val="single" w:color="auto" w:sz="2" w:space="0"/>
              <w:left w:val="single" w:color="auto" w:sz="8"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Cs/>
                <w:kern w:val="0"/>
                <w:sz w:val="24"/>
              </w:rPr>
            </w:pPr>
            <w:r>
              <w:rPr>
                <w:rFonts w:ascii="Times New Roman" w:hAnsi="Times New Roman" w:eastAsia="仿宋_GB2312"/>
                <w:bCs/>
                <w:kern w:val="0"/>
                <w:sz w:val="24"/>
              </w:rPr>
              <w:t>6</w:t>
            </w:r>
          </w:p>
        </w:tc>
        <w:tc>
          <w:tcPr>
            <w:tcW w:w="3025" w:type="pct"/>
            <w:gridSpan w:val="2"/>
            <w:tcBorders>
              <w:top w:val="single" w:color="auto" w:sz="2" w:space="0"/>
              <w:left w:val="single" w:color="auto" w:sz="2" w:space="0"/>
              <w:bottom w:val="single" w:color="auto" w:sz="8" w:space="0"/>
              <w:right w:val="single" w:color="auto" w:sz="2" w:space="0"/>
            </w:tcBorders>
            <w:vAlign w:val="center"/>
          </w:tcPr>
          <w:p>
            <w:pPr>
              <w:overflowPunct w:val="0"/>
              <w:spacing w:line="320" w:lineRule="exact"/>
              <w:textAlignment w:val="center"/>
              <w:rPr>
                <w:rFonts w:ascii="Times New Roman" w:hAnsi="Times New Roman" w:eastAsia="仿宋_GB2312"/>
                <w:bCs/>
                <w:kern w:val="0"/>
                <w:sz w:val="24"/>
              </w:rPr>
            </w:pPr>
            <w:r>
              <w:rPr>
                <w:rFonts w:ascii="Times New Roman" w:hAnsi="Times New Roman" w:eastAsia="仿宋_GB2312"/>
                <w:bCs/>
                <w:kern w:val="0"/>
                <w:sz w:val="24"/>
              </w:rPr>
              <w:t>施工扰民造成严重社会影响。</w:t>
            </w:r>
          </w:p>
        </w:tc>
        <w:tc>
          <w:tcPr>
            <w:tcW w:w="1024" w:type="pct"/>
            <w:vMerge w:val="continue"/>
            <w:tcBorders>
              <w:top w:val="single" w:color="auto" w:sz="2" w:space="0"/>
              <w:left w:val="single" w:color="auto" w:sz="2" w:space="0"/>
              <w:bottom w:val="single" w:color="auto" w:sz="8"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613" w:type="pct"/>
            <w:tcBorders>
              <w:top w:val="single" w:color="auto" w:sz="2" w:space="0"/>
              <w:left w:val="single" w:color="auto" w:sz="2" w:space="0"/>
              <w:bottom w:val="single" w:color="auto" w:sz="8"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bl>
    <w:p>
      <w:pPr>
        <w:spacing w:before="72" w:beforeLines="30" w:line="300" w:lineRule="exact"/>
        <w:ind w:firstLine="456" w:firstLineChars="200"/>
        <w:rPr>
          <w:rFonts w:ascii="Times New Roman" w:hAnsi="Times New Roman" w:eastAsia="仿宋_GB2312"/>
          <w:bCs/>
          <w:spacing w:val="-6"/>
          <w:kern w:val="0"/>
          <w:sz w:val="24"/>
        </w:rPr>
      </w:pPr>
      <w:r>
        <w:rPr>
          <w:rFonts w:ascii="Times New Roman" w:hAnsi="Times New Roman" w:eastAsia="仿宋_GB2312"/>
          <w:bCs/>
          <w:spacing w:val="-6"/>
          <w:kern w:val="0"/>
          <w:sz w:val="24"/>
        </w:rPr>
        <w:t>3</w:t>
      </w:r>
      <w:r>
        <w:rPr>
          <w:rFonts w:ascii="Times New Roman" w:hAnsi="Times New Roman"/>
          <w:bCs/>
          <w:spacing w:val="-6"/>
          <w:kern w:val="0"/>
          <w:sz w:val="24"/>
        </w:rPr>
        <w:t>.</w:t>
      </w:r>
      <w:r>
        <w:rPr>
          <w:rFonts w:ascii="Times New Roman" w:hAnsi="Times New Roman" w:eastAsia="仿宋_GB2312"/>
          <w:bCs/>
          <w:spacing w:val="-6"/>
          <w:kern w:val="0"/>
          <w:sz w:val="24"/>
        </w:rPr>
        <w:t>0</w:t>
      </w:r>
      <w:r>
        <w:rPr>
          <w:rFonts w:ascii="Times New Roman" w:hAnsi="Times New Roman"/>
          <w:bCs/>
          <w:spacing w:val="-6"/>
          <w:kern w:val="0"/>
          <w:sz w:val="24"/>
        </w:rPr>
        <w:t>.</w:t>
      </w:r>
      <w:r>
        <w:rPr>
          <w:rFonts w:ascii="Times New Roman" w:hAnsi="Times New Roman" w:eastAsia="仿宋_GB2312"/>
          <w:bCs/>
          <w:spacing w:val="-6"/>
          <w:kern w:val="0"/>
          <w:sz w:val="24"/>
        </w:rPr>
        <w:t>2</w:t>
      </w:r>
      <w:r>
        <w:rPr>
          <w:rFonts w:hint="eastAsia" w:ascii="Times New Roman" w:hAnsi="Times New Roman" w:eastAsia="仿宋_GB2312"/>
          <w:bCs/>
          <w:spacing w:val="-6"/>
          <w:kern w:val="0"/>
          <w:sz w:val="24"/>
        </w:rPr>
        <w:t>条符合</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，不符合</w:t>
      </w:r>
      <w:r>
        <w:rPr>
          <w:rFonts w:hint="eastAsia" w:ascii="方正书宋_GBK" w:hAnsi="Times New Roman" w:eastAsia="方正书宋_GBK"/>
          <w:bCs/>
          <w:spacing w:val="-6"/>
          <w:kern w:val="0"/>
          <w:sz w:val="24"/>
        </w:rPr>
        <w:t>“</w:t>
      </w:r>
      <w:r>
        <w:rPr>
          <w:rFonts w:hint="eastAsia" w:ascii="宋体" w:hAnsi="宋体"/>
          <w:bCs/>
          <w:spacing w:val="-6"/>
          <w:kern w:val="0"/>
          <w:sz w:val="24"/>
        </w:rPr>
        <w:t>×</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w:t>
      </w:r>
      <w:r>
        <w:rPr>
          <w:rFonts w:ascii="Times New Roman" w:hAnsi="Times New Roman" w:eastAsia="仿宋_GB2312"/>
          <w:bCs/>
          <w:spacing w:val="-6"/>
          <w:kern w:val="0"/>
          <w:sz w:val="24"/>
        </w:rPr>
        <w:t>3</w:t>
      </w:r>
      <w:r>
        <w:rPr>
          <w:rFonts w:ascii="Times New Roman" w:hAnsi="Times New Roman"/>
          <w:bCs/>
          <w:spacing w:val="-6"/>
          <w:kern w:val="0"/>
          <w:sz w:val="24"/>
        </w:rPr>
        <w:t>.</w:t>
      </w:r>
      <w:r>
        <w:rPr>
          <w:rFonts w:ascii="Times New Roman" w:hAnsi="Times New Roman" w:eastAsia="仿宋_GB2312"/>
          <w:bCs/>
          <w:spacing w:val="-6"/>
          <w:kern w:val="0"/>
          <w:sz w:val="24"/>
        </w:rPr>
        <w:t>0</w:t>
      </w:r>
      <w:r>
        <w:rPr>
          <w:rFonts w:ascii="Times New Roman" w:hAnsi="Times New Roman"/>
          <w:bCs/>
          <w:spacing w:val="-6"/>
          <w:kern w:val="0"/>
          <w:sz w:val="24"/>
        </w:rPr>
        <w:t>.</w:t>
      </w:r>
      <w:r>
        <w:rPr>
          <w:rFonts w:ascii="Times New Roman" w:hAnsi="Times New Roman" w:eastAsia="仿宋_GB2312"/>
          <w:bCs/>
          <w:spacing w:val="-6"/>
          <w:kern w:val="0"/>
          <w:sz w:val="24"/>
        </w:rPr>
        <w:t>3</w:t>
      </w:r>
      <w:r>
        <w:rPr>
          <w:rFonts w:hint="eastAsia" w:ascii="Times New Roman" w:hAnsi="Times New Roman" w:eastAsia="仿宋_GB2312"/>
          <w:bCs/>
          <w:spacing w:val="-6"/>
          <w:kern w:val="0"/>
          <w:sz w:val="24"/>
        </w:rPr>
        <w:t>条未发生</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无</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；有发生填</w:t>
      </w:r>
      <w:r>
        <w:rPr>
          <w:rFonts w:hint="eastAsia" w:ascii="方正书宋_GBK" w:hAnsi="Times New Roman" w:eastAsia="方正书宋_GBK"/>
          <w:bCs/>
          <w:spacing w:val="-6"/>
          <w:kern w:val="0"/>
          <w:sz w:val="24"/>
        </w:rPr>
        <w:t>“</w:t>
      </w:r>
      <w:r>
        <w:rPr>
          <w:rFonts w:hint="eastAsia" w:ascii="Times New Roman" w:hAnsi="Times New Roman" w:eastAsia="仿宋_GB2312"/>
          <w:bCs/>
          <w:spacing w:val="-6"/>
          <w:kern w:val="0"/>
          <w:sz w:val="24"/>
        </w:rPr>
        <w:t>有</w:t>
      </w:r>
      <w:r>
        <w:rPr>
          <w:rFonts w:hint="eastAsia" w:ascii="方正书宋_GBK" w:hAnsi="Times New Roman" w:eastAsia="方正书宋_GBK"/>
          <w:bCs/>
          <w:spacing w:val="-6"/>
          <w:kern w:val="0"/>
          <w:sz w:val="24"/>
        </w:rPr>
        <w:t>”</w:t>
      </w:r>
    </w:p>
    <w:p>
      <w:pPr>
        <w:spacing w:line="579" w:lineRule="exact"/>
        <w:textAlignment w:val="center"/>
        <w:rPr>
          <w:rFonts w:ascii="Times New Roman" w:hAnsi="Times New Roman" w:eastAsia="黑体"/>
          <w:sz w:val="32"/>
        </w:rPr>
      </w:pPr>
      <w:r>
        <w:rPr>
          <w:rFonts w:hint="eastAsia" w:ascii="Times New Roman" w:hAnsi="Times New Roman" w:eastAsia="黑体"/>
          <w:sz w:val="32"/>
        </w:rPr>
        <w:t>附表2</w:t>
      </w:r>
      <w:r>
        <w:rPr>
          <w:rFonts w:hint="eastAsia" w:ascii="方正书宋_GBK" w:hAnsi="Times New Roman" w:eastAsia="方正书宋_GBK"/>
          <w:sz w:val="32"/>
        </w:rPr>
        <w:t>-</w:t>
      </w:r>
      <w:r>
        <w:rPr>
          <w:rFonts w:hint="eastAsia" w:ascii="Times New Roman" w:hAnsi="Times New Roman" w:eastAsia="黑体"/>
          <w:sz w:val="32"/>
        </w:rPr>
        <w:t>1</w:t>
      </w:r>
    </w:p>
    <w:p>
      <w:pPr>
        <w:spacing w:before="192" w:beforeLines="80" w:after="192" w:afterLines="8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环境保护要素评价表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15"/>
        <w:gridCol w:w="1101"/>
        <w:gridCol w:w="3321"/>
        <w:gridCol w:w="541"/>
        <w:gridCol w:w="272"/>
        <w:gridCol w:w="1397"/>
        <w:gridCol w:w="86"/>
        <w:gridCol w:w="825"/>
        <w:gridCol w:w="36"/>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03" w:type="pct"/>
            <w:gridSpan w:val="2"/>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2156"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932"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1009" w:type="pct"/>
            <w:gridSpan w:val="4"/>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03" w:type="pct"/>
            <w:gridSpan w:val="2"/>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215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93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专家签字</w:t>
            </w: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03" w:type="pct"/>
            <w:gridSpan w:val="2"/>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215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93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restart"/>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控制项</w:t>
            </w: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93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评价标准</w:t>
            </w: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现场施工标牌应包括环境保护内容。</w:t>
            </w:r>
          </w:p>
        </w:tc>
        <w:tc>
          <w:tcPr>
            <w:tcW w:w="932" w:type="pct"/>
            <w:gridSpan w:val="2"/>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pacing w:val="-10"/>
                <w:sz w:val="24"/>
              </w:rPr>
            </w:pPr>
            <w:r>
              <w:rPr>
                <w:rFonts w:ascii="Times New Roman" w:hAnsi="Times New Roman" w:eastAsia="仿宋_GB2312"/>
                <w:spacing w:val="-10"/>
                <w:kern w:val="0"/>
                <w:sz w:val="24"/>
              </w:rPr>
              <w:t>措施到位，全部满足要求，</w:t>
            </w:r>
            <w:r>
              <w:rPr>
                <w:rFonts w:ascii="Times New Roman" w:hAnsi="Times New Roman" w:eastAsia="仿宋_GB2312"/>
                <w:spacing w:val="-10"/>
                <w:sz w:val="24"/>
              </w:rPr>
              <w:t>进入一般项和优选项评价流程；</w:t>
            </w:r>
            <w:r>
              <w:rPr>
                <w:rFonts w:ascii="Times New Roman" w:hAnsi="Times New Roman" w:eastAsia="仿宋_GB2312"/>
                <w:spacing w:val="-10"/>
                <w:kern w:val="0"/>
                <w:sz w:val="24"/>
              </w:rPr>
              <w:t>否则，</w:t>
            </w:r>
            <w:r>
              <w:rPr>
                <w:rFonts w:ascii="Times New Roman" w:hAnsi="Times New Roman" w:eastAsia="仿宋_GB2312"/>
                <w:spacing w:val="-10"/>
                <w:sz w:val="24"/>
              </w:rPr>
              <w:t>为非绿色施工要素。</w:t>
            </w: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spacing w:val="-6"/>
                <w:kern w:val="0"/>
                <w:sz w:val="24"/>
              </w:rPr>
              <w:t>施工现场应在醒目位置设环境保护标识。</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施工现场的文物古迹和古树名木应采取有效保护措施。</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p>
        </w:tc>
        <w:tc>
          <w:tcPr>
            <w:tcW w:w="1009" w:type="pct"/>
            <w:gridSpan w:val="4"/>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kern w:val="0"/>
                <w:sz w:val="24"/>
              </w:rPr>
              <w:t>现场食堂应有卫生许可证，炊事员应持有效健康证明。</w:t>
            </w:r>
          </w:p>
        </w:tc>
        <w:tc>
          <w:tcPr>
            <w:tcW w:w="932" w:type="pct"/>
            <w:gridSpan w:val="2"/>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p>
        </w:tc>
        <w:tc>
          <w:tcPr>
            <w:tcW w:w="1009" w:type="pct"/>
            <w:gridSpan w:val="4"/>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772" w:type="pct"/>
            <w:gridSpan w:val="3"/>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条文编号及要求</w:t>
            </w:r>
          </w:p>
        </w:tc>
        <w:tc>
          <w:tcPr>
            <w:tcW w:w="932"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508"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501"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1</w:t>
            </w:r>
            <w:r>
              <w:rPr>
                <w:rFonts w:hint="eastAsia" w:ascii="Times New Roman" w:hAnsi="Times New Roman" w:eastAsia="仿宋_GB2312"/>
                <w:b/>
                <w:sz w:val="24"/>
              </w:rPr>
              <w:t>　</w:t>
            </w:r>
            <w:r>
              <w:rPr>
                <w:rFonts w:ascii="Times New Roman" w:hAnsi="Times New Roman" w:eastAsia="仿宋_GB2312"/>
                <w:b/>
                <w:sz w:val="24"/>
              </w:rPr>
              <w:t>资源保护应符合下列规定：</w:t>
            </w:r>
          </w:p>
        </w:tc>
        <w:tc>
          <w:tcPr>
            <w:tcW w:w="932" w:type="pct"/>
            <w:gridSpan w:val="2"/>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2分之间选择：</w:t>
            </w:r>
          </w:p>
          <w:p>
            <w:pPr>
              <w:tabs>
                <w:tab w:val="left" w:pos="360"/>
              </w:tabs>
              <w:overflowPunct w:val="0"/>
              <w:spacing w:line="296" w:lineRule="exact"/>
              <w:textAlignment w:val="center"/>
              <w:rPr>
                <w:rFonts w:ascii="Times New Roman" w:hAnsi="Times New Roman" w:eastAsia="仿宋_GB2312"/>
                <w:kern w:val="0"/>
                <w:sz w:val="24"/>
              </w:rPr>
            </w:pPr>
            <w:r>
              <w:rPr>
                <w:rFonts w:hint="eastAsia" w:ascii="宋体" w:hAnsi="宋体" w:cs="宋体"/>
                <w:kern w:val="0"/>
                <w:sz w:val="24"/>
              </w:rPr>
              <w:t>①</w:t>
            </w:r>
            <w:r>
              <w:rPr>
                <w:rFonts w:ascii="Times New Roman" w:hAnsi="Times New Roman" w:eastAsia="仿宋_GB2312"/>
                <w:kern w:val="0"/>
                <w:sz w:val="24"/>
              </w:rPr>
              <w:t>措施到位，满足考评指标要求。</w:t>
            </w:r>
          </w:p>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得分：2</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296" w:lineRule="exact"/>
              <w:textAlignment w:val="center"/>
              <w:rPr>
                <w:rFonts w:hint="eastAsia" w:ascii="Times New Roman" w:hAnsi="Times New Roman" w:eastAsia="仿宋_GB2312"/>
                <w:spacing w:val="-10"/>
                <w:kern w:val="0"/>
                <w:sz w:val="24"/>
                <w:lang w:eastAsia="zh-CN"/>
              </w:rPr>
            </w:pPr>
            <w:r>
              <w:rPr>
                <w:rFonts w:hint="eastAsia" w:ascii="宋体" w:hAnsi="宋体" w:cs="宋体"/>
                <w:kern w:val="0"/>
                <w:sz w:val="24"/>
              </w:rPr>
              <w:t>②</w:t>
            </w:r>
            <w:r>
              <w:rPr>
                <w:rFonts w:ascii="Times New Roman" w:hAnsi="Times New Roman" w:eastAsia="仿宋_GB2312"/>
                <w:spacing w:val="-10"/>
                <w:kern w:val="0"/>
                <w:sz w:val="24"/>
              </w:rPr>
              <w:t>措施基本到位，部分满足考评指标要求。</w:t>
            </w:r>
          </w:p>
          <w:p>
            <w:pPr>
              <w:tabs>
                <w:tab w:val="left" w:pos="360"/>
              </w:tabs>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296" w:lineRule="exact"/>
              <w:textAlignment w:val="center"/>
              <w:rPr>
                <w:rFonts w:ascii="Times New Roman" w:hAnsi="Times New Roman" w:eastAsia="仿宋_GB2312"/>
                <w:kern w:val="0"/>
                <w:sz w:val="24"/>
              </w:rPr>
            </w:pPr>
            <w:r>
              <w:rPr>
                <w:rFonts w:hint="eastAsia" w:ascii="宋体" w:hAnsi="宋体" w:cs="宋体"/>
                <w:kern w:val="0"/>
                <w:sz w:val="24"/>
                <w:lang w:eastAsia="ja-JP"/>
              </w:rPr>
              <w:t>③</w:t>
            </w:r>
            <w:r>
              <w:rPr>
                <w:rFonts w:ascii="Times New Roman" w:hAnsi="Times New Roman" w:eastAsia="仿宋_GB2312"/>
                <w:kern w:val="0"/>
                <w:sz w:val="24"/>
              </w:rPr>
              <w:t>措施不到位，不满足考评指标要求。得分：0</w:t>
            </w: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1 应保护场地四周原有地下水形态，减少抽取地下水。</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2 危险品、化学品存放处及污物排放应采取隔离措施。</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2</w:t>
            </w:r>
            <w:r>
              <w:rPr>
                <w:rFonts w:hint="eastAsia" w:ascii="Times New Roman" w:hAnsi="Times New Roman" w:eastAsia="仿宋_GB2312"/>
                <w:b/>
                <w:sz w:val="24"/>
              </w:rPr>
              <w:t>　</w:t>
            </w:r>
            <w:r>
              <w:rPr>
                <w:rFonts w:ascii="Times New Roman" w:hAnsi="Times New Roman" w:eastAsia="仿宋_GB2312"/>
                <w:b/>
                <w:sz w:val="24"/>
              </w:rPr>
              <w:t>人员健康应符合下列规定：</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kern w:val="0"/>
                <w:sz w:val="24"/>
              </w:rPr>
            </w:pPr>
            <w:r>
              <w:rPr>
                <w:rFonts w:ascii="Times New Roman" w:hAnsi="Times New Roman" w:eastAsia="仿宋_GB2312"/>
                <w:kern w:val="0"/>
                <w:sz w:val="24"/>
              </w:rPr>
              <w:t>1 施工作业区和生活办公区应分开布置，生活设施应远离有毒有害物质。</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kern w:val="0"/>
                <w:sz w:val="24"/>
              </w:rPr>
            </w:pPr>
            <w:r>
              <w:rPr>
                <w:rFonts w:ascii="Times New Roman" w:hAnsi="Times New Roman" w:eastAsia="仿宋_GB2312"/>
                <w:kern w:val="0"/>
                <w:sz w:val="24"/>
              </w:rPr>
              <w:t xml:space="preserve">2 </w:t>
            </w:r>
            <w:r>
              <w:rPr>
                <w:rFonts w:ascii="Times New Roman" w:hAnsi="Times New Roman" w:eastAsia="仿宋_GB2312"/>
                <w:spacing w:val="-6"/>
                <w:kern w:val="0"/>
                <w:sz w:val="24"/>
              </w:rPr>
              <w:t>生活区应有专人负责，应有消暑或保暖措施</w:t>
            </w:r>
            <w:r>
              <w:rPr>
                <w:rFonts w:ascii="Times New Roman" w:hAnsi="Times New Roman" w:eastAsia="仿宋_GB2312"/>
                <w:kern w:val="0"/>
                <w:sz w:val="24"/>
              </w:rPr>
              <w:t>。</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kern w:val="0"/>
                <w:sz w:val="24"/>
              </w:rPr>
            </w:pPr>
            <w:r>
              <w:rPr>
                <w:rFonts w:ascii="Times New Roman" w:hAnsi="Times New Roman" w:eastAsia="仿宋_GB2312"/>
                <w:kern w:val="0"/>
                <w:sz w:val="24"/>
              </w:rPr>
              <w:t xml:space="preserve">3 </w:t>
            </w:r>
            <w:r>
              <w:rPr>
                <w:rFonts w:ascii="Times New Roman" w:hAnsi="Times New Roman" w:eastAsia="仿宋_GB2312"/>
                <w:spacing w:val="-10"/>
                <w:kern w:val="0"/>
                <w:sz w:val="24"/>
              </w:rPr>
              <w:t>现场工人劳动强度和工作时间应符合现行国家标准《体力劳动强度等级》GB3869的有关规定。</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sz w:val="24"/>
              </w:rPr>
            </w:pPr>
            <w:r>
              <w:rPr>
                <w:rFonts w:ascii="Times New Roman" w:hAnsi="Times New Roman" w:eastAsia="仿宋_GB2312"/>
                <w:kern w:val="0"/>
                <w:sz w:val="24"/>
              </w:rPr>
              <w:t>4 从事有毒、有害、有刺激性气味和强光、强噪音施工的人员应佩戴与其相应的防护器具。</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sz w:val="24"/>
              </w:rPr>
            </w:pPr>
            <w:r>
              <w:rPr>
                <w:rFonts w:ascii="Times New Roman" w:hAnsi="Times New Roman" w:eastAsia="仿宋_GB2312"/>
                <w:kern w:val="0"/>
                <w:sz w:val="24"/>
              </w:rPr>
              <w:t>5 深井、密闭环境、防水和室内装修施工应有自然通风或临时通风设施。</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sz w:val="24"/>
              </w:rPr>
            </w:pPr>
            <w:r>
              <w:rPr>
                <w:rFonts w:ascii="Times New Roman" w:hAnsi="Times New Roman" w:eastAsia="仿宋_GB2312"/>
                <w:kern w:val="0"/>
                <w:sz w:val="24"/>
              </w:rPr>
              <w:t xml:space="preserve">6 </w:t>
            </w:r>
            <w:r>
              <w:rPr>
                <w:rFonts w:ascii="Times New Roman" w:hAnsi="Times New Roman" w:eastAsia="仿宋_GB2312"/>
                <w:spacing w:val="-6"/>
                <w:kern w:val="0"/>
                <w:sz w:val="24"/>
              </w:rPr>
              <w:t>现场危险设备、地段、有毒物品存放地应配置醒目安全标志，施工应采取有效防毒、防污、防尘、防潮、通风等措施，应加强人员健康管理。</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sz w:val="24"/>
              </w:rPr>
            </w:pPr>
            <w:r>
              <w:rPr>
                <w:rFonts w:ascii="Times New Roman" w:hAnsi="Times New Roman" w:eastAsia="仿宋_GB2312"/>
                <w:kern w:val="0"/>
                <w:sz w:val="24"/>
              </w:rPr>
              <w:t>7 厕所、卫生设施、排水沟及阴暗潮湿地带应定期消毒。</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4" w:lineRule="exact"/>
              <w:textAlignment w:val="center"/>
              <w:rPr>
                <w:rFonts w:ascii="Times New Roman" w:hAnsi="Times New Roman" w:eastAsia="仿宋_GB2312"/>
                <w:sz w:val="24"/>
              </w:rPr>
            </w:pPr>
            <w:r>
              <w:rPr>
                <w:rFonts w:ascii="Times New Roman" w:hAnsi="Times New Roman" w:eastAsia="仿宋_GB2312"/>
                <w:kern w:val="0"/>
                <w:sz w:val="24"/>
              </w:rPr>
              <w:t>8 食堂各类器具应清洁，个人卫生、操作行为应规范。</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3</w:t>
            </w:r>
            <w:r>
              <w:rPr>
                <w:rFonts w:hint="eastAsia" w:ascii="Times New Roman" w:hAnsi="Times New Roman" w:eastAsia="仿宋_GB2312"/>
                <w:b/>
                <w:sz w:val="24"/>
              </w:rPr>
              <w:t>　</w:t>
            </w:r>
            <w:r>
              <w:rPr>
                <w:rFonts w:ascii="Times New Roman" w:hAnsi="Times New Roman" w:eastAsia="仿宋_GB2312"/>
                <w:b/>
                <w:sz w:val="24"/>
              </w:rPr>
              <w:t>扬尘控制应符合下列规定：</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1 现场应建立洒水清扫制度，配备洒水设备，并应有专人负责。</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772"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 xml:space="preserve">2 </w:t>
            </w:r>
            <w:r>
              <w:rPr>
                <w:rFonts w:ascii="Times New Roman" w:hAnsi="Times New Roman" w:eastAsia="仿宋_GB2312"/>
                <w:spacing w:val="-12"/>
                <w:kern w:val="0"/>
                <w:sz w:val="24"/>
              </w:rPr>
              <w:t>对裸露地面、集中堆放的土方应采取抑尘措施。</w:t>
            </w:r>
          </w:p>
        </w:tc>
        <w:tc>
          <w:tcPr>
            <w:tcW w:w="932"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08"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50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restart"/>
            <w:tcBorders>
              <w:left w:val="single" w:color="auto" w:sz="8" w:space="0"/>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924" w:type="pct"/>
            <w:gridSpan w:val="4"/>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827"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81" w:type="pct"/>
            <w:tcBorders>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top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3 运送土方、渣土等易产生扬尘的车辆应采取封闭或遮盖措施。</w:t>
            </w:r>
          </w:p>
        </w:tc>
        <w:tc>
          <w:tcPr>
            <w:tcW w:w="827" w:type="pct"/>
            <w:gridSpan w:val="2"/>
            <w:vMerge w:val="restart"/>
            <w:tcBorders>
              <w:top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10"/>
                <w:sz w:val="24"/>
              </w:rPr>
            </w:pPr>
            <w:r>
              <w:rPr>
                <w:rFonts w:ascii="Times New Roman" w:hAnsi="Times New Roman" w:eastAsia="仿宋_GB2312"/>
                <w:spacing w:val="-10"/>
                <w:sz w:val="24"/>
              </w:rPr>
              <w:t>每一条目得分据现场实际，在0</w:t>
            </w:r>
            <w:r>
              <w:rPr>
                <w:rFonts w:hint="eastAsia" w:ascii="方正书宋_GBK" w:hAnsi="Times New Roman" w:eastAsia="方正书宋_GBK"/>
                <w:spacing w:val="-10"/>
                <w:sz w:val="24"/>
              </w:rPr>
              <w:t>-</w:t>
            </w:r>
            <w:r>
              <w:rPr>
                <w:rFonts w:ascii="Times New Roman" w:hAnsi="Times New Roman" w:eastAsia="仿宋_GB2312"/>
                <w:spacing w:val="-10"/>
                <w:sz w:val="24"/>
              </w:rPr>
              <w:t>2分之间选择：</w:t>
            </w:r>
          </w:p>
          <w:p>
            <w:pPr>
              <w:tabs>
                <w:tab w:val="left" w:pos="360"/>
              </w:tabs>
              <w:overflowPunct w:val="0"/>
              <w:spacing w:line="320" w:lineRule="exact"/>
              <w:textAlignment w:val="center"/>
              <w:rPr>
                <w:rFonts w:hint="eastAsia" w:ascii="Times New Roman" w:hAnsi="Times New Roman" w:eastAsia="仿宋_GB2312"/>
                <w:spacing w:val="-10"/>
                <w:kern w:val="0"/>
                <w:sz w:val="24"/>
                <w:lang w:eastAsia="zh-CN"/>
              </w:rPr>
            </w:pPr>
            <w:r>
              <w:rPr>
                <w:rFonts w:hint="eastAsia" w:ascii="宋体" w:hAnsi="宋体" w:cs="宋体"/>
                <w:spacing w:val="-10"/>
                <w:kern w:val="0"/>
                <w:sz w:val="24"/>
              </w:rPr>
              <w:t>①</w:t>
            </w:r>
            <w:r>
              <w:rPr>
                <w:rFonts w:ascii="Times New Roman" w:hAnsi="Times New Roman" w:eastAsia="仿宋_GB2312"/>
                <w:spacing w:val="-10"/>
                <w:kern w:val="0"/>
                <w:sz w:val="24"/>
              </w:rPr>
              <w:t>措施到位，满足考评指标要求。</w:t>
            </w:r>
          </w:p>
          <w:p>
            <w:pPr>
              <w:tabs>
                <w:tab w:val="left" w:pos="360"/>
              </w:tabs>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得分：2</w:t>
            </w:r>
            <w:r>
              <w:rPr>
                <w:rFonts w:ascii="Times New Roman" w:hAnsi="Times New Roman"/>
                <w:spacing w:val="-10"/>
                <w:kern w:val="0"/>
                <w:sz w:val="24"/>
              </w:rPr>
              <w:t>.</w:t>
            </w:r>
            <w:r>
              <w:rPr>
                <w:rFonts w:ascii="Times New Roman" w:hAnsi="Times New Roman" w:eastAsia="仿宋_GB2312"/>
                <w:spacing w:val="-10"/>
                <w:kern w:val="0"/>
                <w:sz w:val="24"/>
              </w:rPr>
              <w:t>0</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rPr>
              <w:t>②</w:t>
            </w:r>
            <w:r>
              <w:rPr>
                <w:rFonts w:ascii="Times New Roman" w:hAnsi="Times New Roman" w:eastAsia="仿宋_GB2312"/>
                <w:spacing w:val="-10"/>
                <w:kern w:val="0"/>
                <w:sz w:val="24"/>
              </w:rPr>
              <w:t>措施基本到位，部分满足考评指标要求。</w:t>
            </w:r>
          </w:p>
          <w:p>
            <w:pPr>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得分：1</w:t>
            </w:r>
            <w:r>
              <w:rPr>
                <w:rFonts w:ascii="Times New Roman" w:hAnsi="Times New Roman"/>
                <w:spacing w:val="-10"/>
                <w:kern w:val="0"/>
                <w:sz w:val="24"/>
              </w:rPr>
              <w:t>.</w:t>
            </w:r>
            <w:r>
              <w:rPr>
                <w:rFonts w:ascii="Times New Roman" w:hAnsi="Times New Roman" w:eastAsia="仿宋_GB2312"/>
                <w:spacing w:val="-10"/>
                <w:kern w:val="0"/>
                <w:sz w:val="24"/>
              </w:rPr>
              <w:t>0</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lang w:eastAsia="ja-JP"/>
              </w:rPr>
              <w:t>③</w:t>
            </w:r>
            <w:r>
              <w:rPr>
                <w:rFonts w:ascii="Times New Roman" w:hAnsi="Times New Roman" w:eastAsia="仿宋_GB2312"/>
                <w:spacing w:val="-10"/>
                <w:kern w:val="0"/>
                <w:sz w:val="24"/>
              </w:rPr>
              <w:t>措施不到位，不满足考评指标要求。</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spacing w:val="-10"/>
                <w:kern w:val="0"/>
                <w:sz w:val="24"/>
              </w:rPr>
              <w:t>得分：0</w:t>
            </w:r>
          </w:p>
        </w:tc>
        <w:tc>
          <w:tcPr>
            <w:tcW w:w="481" w:type="pct"/>
            <w:gridSpan w:val="2"/>
            <w:tcBorders>
              <w:top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top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4 现场进出口应设冲洗池和吸湿垫，应保持进出现场车辆清洁。</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5 易飞扬和细颗粒建筑材料应封闭存放，余料应及时回收。</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 xml:space="preserve">6 </w:t>
            </w:r>
            <w:r>
              <w:rPr>
                <w:rFonts w:ascii="Times New Roman" w:hAnsi="Times New Roman" w:eastAsia="仿宋_GB2312"/>
                <w:spacing w:val="-10"/>
                <w:kern w:val="0"/>
                <w:sz w:val="24"/>
              </w:rPr>
              <w:t>易产生扬尘的施工作业应采取遮挡、抑尘等措施。</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7 拆除爆破作业应有降尘措施。</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8 高空垃圾清运应采用封闭式管道或垂直运输机械完成。</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bottom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 xml:space="preserve">9 </w:t>
            </w:r>
            <w:r>
              <w:rPr>
                <w:rFonts w:ascii="Times New Roman" w:hAnsi="Times New Roman" w:eastAsia="仿宋_GB2312"/>
                <w:spacing w:val="-10"/>
                <w:kern w:val="0"/>
                <w:sz w:val="24"/>
              </w:rPr>
              <w:t>现场使用散装水泥、预拌砂浆应有密闭防尘措施。</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b/>
                <w:kern w:val="0"/>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4</w:t>
            </w:r>
            <w:r>
              <w:rPr>
                <w:rFonts w:hint="eastAsia" w:ascii="Times New Roman" w:hAnsi="Times New Roman" w:eastAsia="仿宋_GB2312"/>
                <w:b/>
                <w:sz w:val="24"/>
              </w:rPr>
              <w:t>　</w:t>
            </w:r>
            <w:r>
              <w:rPr>
                <w:rFonts w:ascii="Times New Roman" w:hAnsi="Times New Roman" w:eastAsia="仿宋_GB2312"/>
                <w:b/>
                <w:sz w:val="24"/>
              </w:rPr>
              <w:t>废气排放控制应符合下列规定：</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1 进出场车辆及机械设备废气排放应符合国家年检要求。</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2 不应使用煤作为现场生活的燃料。</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3 电焊烟气的排放应符合现行国家标准《大气污染物综合排放标准》GB16297的规定。</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bottom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4 不应在现场燃烧废弃物。</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5</w:t>
            </w:r>
            <w:r>
              <w:rPr>
                <w:rFonts w:hint="eastAsia" w:ascii="Times New Roman" w:hAnsi="Times New Roman" w:eastAsia="仿宋_GB2312"/>
                <w:b/>
                <w:sz w:val="24"/>
              </w:rPr>
              <w:t>　</w:t>
            </w:r>
            <w:r>
              <w:rPr>
                <w:rFonts w:ascii="Times New Roman" w:hAnsi="Times New Roman" w:eastAsia="仿宋_GB2312"/>
                <w:b/>
                <w:sz w:val="24"/>
              </w:rPr>
              <w:t>建筑垃圾处置应符合下列规定：</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1 建筑垃圾应分类收集、集中堆放。</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2 废电池、废墨盒等有毒有害的废弃物应封闭回收，不应混放。</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3 有毒有害废物分类率应达到100%。</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4 垃圾桶应分为可回收利用与不可回收利用两类，应定期清运。</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5 建筑垃圾回收利用率应达到30%。</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bottom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 xml:space="preserve">6 </w:t>
            </w:r>
            <w:r>
              <w:rPr>
                <w:rFonts w:ascii="Times New Roman" w:hAnsi="Times New Roman" w:eastAsia="仿宋_GB2312"/>
                <w:spacing w:val="-6"/>
                <w:kern w:val="0"/>
                <w:sz w:val="24"/>
              </w:rPr>
              <w:t>碎石和土石方类等应用作地基和路基回填材料。</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6</w:t>
            </w:r>
            <w:r>
              <w:rPr>
                <w:rFonts w:hint="eastAsia" w:ascii="Times New Roman" w:hAnsi="Times New Roman" w:eastAsia="仿宋_GB2312"/>
                <w:b/>
                <w:sz w:val="24"/>
              </w:rPr>
              <w:t>　</w:t>
            </w:r>
            <w:r>
              <w:rPr>
                <w:rFonts w:ascii="Times New Roman" w:hAnsi="Times New Roman" w:eastAsia="仿宋_GB2312"/>
                <w:b/>
                <w:sz w:val="24"/>
              </w:rPr>
              <w:t>污水排放应符合下列规定：</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1 现场道路和材料堆放场地周边应设排水沟。</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2 工程污水和试验室养护用水应经处理达标后排入市政污水管道。</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3 现场厕所应设置化粪池，化粪池应定期清理。</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4 工地厨房应设隔油池，应定期清理。</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bottom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5 雨水、污水应分流排放。</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bottom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b/>
                <w:sz w:val="24"/>
              </w:rPr>
              <w:t>5</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7</w:t>
            </w:r>
            <w:r>
              <w:rPr>
                <w:rFonts w:hint="eastAsia" w:ascii="Times New Roman" w:hAnsi="Times New Roman" w:eastAsia="仿宋_GB2312"/>
                <w:b/>
                <w:sz w:val="24"/>
              </w:rPr>
              <w:t>　</w:t>
            </w:r>
            <w:r>
              <w:rPr>
                <w:rFonts w:ascii="Times New Roman" w:hAnsi="Times New Roman" w:eastAsia="仿宋_GB2312"/>
                <w:b/>
                <w:sz w:val="24"/>
              </w:rPr>
              <w:t>光污染应符合下列规定：</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1 夜间焊接作业时，应采取挡光措施。</w:t>
            </w:r>
          </w:p>
        </w:tc>
        <w:tc>
          <w:tcPr>
            <w:tcW w:w="827" w:type="pct"/>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2" w:space="0"/>
            <w:left w:val="single" w:color="auto" w:sz="12" w:space="0"/>
            <w:bottom w:val="single" w:color="auto" w:sz="2" w:space="0"/>
            <w:right w:val="single" w:color="auto" w:sz="12" w:space="0"/>
            <w:insideH w:val="single" w:color="auto" w:sz="2" w:space="0"/>
            <w:insideV w:val="single" w:color="auto" w:sz="2" w:space="0"/>
          </w:tblBorders>
          <w:tblCellMar>
            <w:top w:w="0" w:type="dxa"/>
            <w:left w:w="57" w:type="dxa"/>
            <w:bottom w:w="0" w:type="dxa"/>
            <w:right w:w="57" w:type="dxa"/>
          </w:tblCellMar>
        </w:tblPrEx>
        <w:trPr>
          <w:jc w:val="center"/>
        </w:trPr>
        <w:tc>
          <w:tcPr>
            <w:tcW w:w="287" w:type="pct"/>
            <w:vMerge w:val="continue"/>
            <w:tcBorders>
              <w:left w:val="single" w:color="auto" w:sz="8" w:space="0"/>
              <w:bottom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924" w:type="pct"/>
            <w:gridSpan w:val="4"/>
            <w:tcBorders>
              <w:bottom w:val="single" w:color="auto" w:sz="8"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2 工地设置大型照明灯具时，应有防止强光线外泄的措施。</w:t>
            </w:r>
          </w:p>
        </w:tc>
        <w:tc>
          <w:tcPr>
            <w:tcW w:w="827" w:type="pct"/>
            <w:gridSpan w:val="2"/>
            <w:vMerge w:val="continue"/>
            <w:tcBorders>
              <w:bottom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bottom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81" w:type="pct"/>
            <w:tcBorders>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470"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282" w:type="pct"/>
            <w:gridSpan w:val="4"/>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79"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b/>
                <w:kern w:val="0"/>
                <w:sz w:val="24"/>
              </w:rPr>
              <w:t>5</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8</w:t>
            </w:r>
            <w:r>
              <w:rPr>
                <w:rFonts w:hint="eastAsia" w:ascii="Times New Roman" w:hAnsi="Times New Roman" w:eastAsia="仿宋_GB2312"/>
                <w:b/>
                <w:kern w:val="0"/>
                <w:sz w:val="24"/>
              </w:rPr>
              <w:t>　</w:t>
            </w:r>
            <w:r>
              <w:rPr>
                <w:rFonts w:ascii="Times New Roman" w:hAnsi="Times New Roman" w:eastAsia="仿宋_GB2312"/>
                <w:b/>
                <w:kern w:val="0"/>
                <w:sz w:val="24"/>
              </w:rPr>
              <w:t>噪音控制应符合下列规定：</w:t>
            </w:r>
          </w:p>
        </w:tc>
        <w:tc>
          <w:tcPr>
            <w:tcW w:w="1282" w:type="pct"/>
            <w:gridSpan w:val="4"/>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10"/>
                <w:sz w:val="24"/>
              </w:rPr>
            </w:pPr>
            <w:r>
              <w:rPr>
                <w:rFonts w:ascii="Times New Roman" w:hAnsi="Times New Roman" w:eastAsia="仿宋_GB2312"/>
                <w:spacing w:val="-10"/>
                <w:sz w:val="24"/>
              </w:rPr>
              <w:t>每一条目得分据现场实际，在0</w:t>
            </w:r>
            <w:r>
              <w:rPr>
                <w:rFonts w:hint="eastAsia" w:ascii="方正书宋_GBK" w:hAnsi="Times New Roman" w:eastAsia="方正书宋_GBK"/>
                <w:spacing w:val="-10"/>
                <w:sz w:val="24"/>
              </w:rPr>
              <w:t>-</w:t>
            </w:r>
            <w:r>
              <w:rPr>
                <w:rFonts w:ascii="Times New Roman" w:hAnsi="Times New Roman" w:eastAsia="仿宋_GB2312"/>
                <w:spacing w:val="-10"/>
                <w:sz w:val="24"/>
              </w:rPr>
              <w:t>2分之间选择：</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rPr>
              <w:t>①</w:t>
            </w:r>
            <w:r>
              <w:rPr>
                <w:rFonts w:ascii="Times New Roman" w:hAnsi="Times New Roman" w:eastAsia="仿宋_GB2312"/>
                <w:spacing w:val="-10"/>
                <w:kern w:val="0"/>
                <w:sz w:val="24"/>
              </w:rPr>
              <w:t>措施到位，满足考评指标要求。</w:t>
            </w:r>
          </w:p>
          <w:p>
            <w:pPr>
              <w:tabs>
                <w:tab w:val="left" w:pos="360"/>
              </w:tabs>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得分：2</w:t>
            </w:r>
            <w:r>
              <w:rPr>
                <w:rFonts w:ascii="Times New Roman" w:hAnsi="Times New Roman"/>
                <w:spacing w:val="-10"/>
                <w:kern w:val="0"/>
                <w:sz w:val="24"/>
              </w:rPr>
              <w:t>.</w:t>
            </w:r>
            <w:r>
              <w:rPr>
                <w:rFonts w:ascii="Times New Roman" w:hAnsi="Times New Roman" w:eastAsia="仿宋_GB2312"/>
                <w:spacing w:val="-10"/>
                <w:kern w:val="0"/>
                <w:sz w:val="24"/>
              </w:rPr>
              <w:t>0</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rPr>
              <w:t>②</w:t>
            </w:r>
            <w:r>
              <w:rPr>
                <w:rFonts w:ascii="Times New Roman" w:hAnsi="Times New Roman" w:eastAsia="仿宋_GB2312"/>
                <w:spacing w:val="-12"/>
                <w:kern w:val="0"/>
                <w:sz w:val="24"/>
              </w:rPr>
              <w:t>措施基本到位，部分满足考评指标要求。</w:t>
            </w:r>
          </w:p>
          <w:p>
            <w:pPr>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得分：1</w:t>
            </w:r>
            <w:r>
              <w:rPr>
                <w:rFonts w:ascii="Times New Roman" w:hAnsi="Times New Roman"/>
                <w:spacing w:val="-10"/>
                <w:kern w:val="0"/>
                <w:sz w:val="24"/>
              </w:rPr>
              <w:t>.</w:t>
            </w:r>
            <w:r>
              <w:rPr>
                <w:rFonts w:ascii="Times New Roman" w:hAnsi="Times New Roman" w:eastAsia="仿宋_GB2312"/>
                <w:spacing w:val="-10"/>
                <w:kern w:val="0"/>
                <w:sz w:val="24"/>
              </w:rPr>
              <w:t>0</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lang w:eastAsia="ja-JP"/>
              </w:rPr>
              <w:t>③</w:t>
            </w:r>
            <w:r>
              <w:rPr>
                <w:rFonts w:ascii="Times New Roman" w:hAnsi="Times New Roman" w:eastAsia="仿宋_GB2312"/>
                <w:spacing w:val="-10"/>
                <w:kern w:val="0"/>
                <w:sz w:val="24"/>
              </w:rPr>
              <w:t>措施不到位，不满足考评指标要求</w:t>
            </w:r>
            <w:r>
              <w:rPr>
                <w:rFonts w:hint="eastAsia" w:ascii="Times New Roman" w:hAnsi="Times New Roman" w:eastAsia="仿宋_GB2312"/>
                <w:spacing w:val="-10"/>
                <w:kern w:val="0"/>
                <w:sz w:val="24"/>
              </w:rPr>
              <w:t>。</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spacing w:val="-10"/>
                <w:kern w:val="0"/>
                <w:sz w:val="24"/>
              </w:rPr>
              <w:t>得分：0</w:t>
            </w: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1 应采用先进机械、低噪音设备进行施工，机械、设备应定期保养维护。</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 xml:space="preserve">2 </w:t>
            </w:r>
            <w:r>
              <w:rPr>
                <w:rFonts w:ascii="Times New Roman" w:hAnsi="Times New Roman" w:eastAsia="仿宋_GB2312"/>
                <w:spacing w:val="-8"/>
                <w:kern w:val="0"/>
                <w:sz w:val="24"/>
              </w:rPr>
              <w:t>产生噪声较大的机械设备，应尽量远离施工现场办公区、生活区和周边住宅区。</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3 混凝土输送泵、电锯房等应设有吸音降噪屏或其他降噪措施。</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4 夜间施工噪音声强值应符合国家有关规定。</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 xml:space="preserve">5 </w:t>
            </w:r>
            <w:r>
              <w:rPr>
                <w:rFonts w:ascii="Times New Roman" w:hAnsi="Times New Roman" w:eastAsia="仿宋_GB2312"/>
                <w:spacing w:val="-4"/>
                <w:kern w:val="0"/>
                <w:sz w:val="24"/>
              </w:rPr>
              <w:t>吊装作业指挥应使用对讲机传达指令。</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b/>
                <w:kern w:val="0"/>
                <w:sz w:val="24"/>
              </w:rPr>
              <w:t>5</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9</w:t>
            </w:r>
            <w:r>
              <w:rPr>
                <w:rFonts w:hint="eastAsia" w:ascii="Times New Roman" w:hAnsi="Times New Roman" w:eastAsia="仿宋_GB2312"/>
                <w:b/>
                <w:kern w:val="0"/>
                <w:sz w:val="24"/>
              </w:rPr>
              <w:t>　</w:t>
            </w:r>
            <w:r>
              <w:rPr>
                <w:rFonts w:ascii="Times New Roman" w:hAnsi="Times New Roman" w:eastAsia="仿宋_GB2312"/>
                <w:kern w:val="0"/>
                <w:sz w:val="24"/>
              </w:rPr>
              <w:t>施工现场应设置连续、密闭能有效隔绝各类污染的围挡。</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b/>
                <w:kern w:val="0"/>
                <w:sz w:val="24"/>
              </w:rPr>
              <w:t>5</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10</w:t>
            </w:r>
            <w:r>
              <w:rPr>
                <w:rFonts w:hint="eastAsia" w:ascii="Times New Roman" w:hAnsi="Times New Roman" w:eastAsia="仿宋_GB2312"/>
                <w:b/>
                <w:kern w:val="0"/>
                <w:sz w:val="24"/>
              </w:rPr>
              <w:t>　</w:t>
            </w:r>
            <w:r>
              <w:rPr>
                <w:rFonts w:ascii="Times New Roman" w:hAnsi="Times New Roman" w:eastAsia="仿宋_GB2312"/>
                <w:spacing w:val="-14"/>
                <w:kern w:val="0"/>
                <w:sz w:val="24"/>
              </w:rPr>
              <w:t>施工中，开挖土方应合理回填利用。</w:t>
            </w:r>
          </w:p>
        </w:tc>
        <w:tc>
          <w:tcPr>
            <w:tcW w:w="1282" w:type="pct"/>
            <w:gridSpan w:val="4"/>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优选项</w:t>
            </w:r>
          </w:p>
        </w:tc>
        <w:tc>
          <w:tcPr>
            <w:tcW w:w="2470"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标准编号及要求</w:t>
            </w:r>
          </w:p>
        </w:tc>
        <w:tc>
          <w:tcPr>
            <w:tcW w:w="1282" w:type="pct"/>
            <w:gridSpan w:val="4"/>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79"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施工作业面应设置隔音设施。</w:t>
            </w:r>
          </w:p>
        </w:tc>
        <w:tc>
          <w:tcPr>
            <w:tcW w:w="1282" w:type="pct"/>
            <w:gridSpan w:val="4"/>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10"/>
                <w:sz w:val="24"/>
              </w:rPr>
            </w:pPr>
            <w:r>
              <w:rPr>
                <w:rFonts w:ascii="Times New Roman" w:hAnsi="Times New Roman" w:eastAsia="仿宋_GB2312"/>
                <w:spacing w:val="-10"/>
                <w:sz w:val="24"/>
              </w:rPr>
              <w:t>每一条目得分据现场实际，在0</w:t>
            </w:r>
            <w:r>
              <w:rPr>
                <w:rFonts w:hint="eastAsia" w:ascii="方正书宋_GBK" w:hAnsi="Times New Roman" w:eastAsia="方正书宋_GBK"/>
                <w:spacing w:val="-10"/>
                <w:sz w:val="24"/>
              </w:rPr>
              <w:t>-</w:t>
            </w:r>
            <w:r>
              <w:rPr>
                <w:rFonts w:ascii="Times New Roman" w:hAnsi="Times New Roman" w:eastAsia="仿宋_GB2312"/>
                <w:spacing w:val="-10"/>
                <w:sz w:val="24"/>
              </w:rPr>
              <w:t>1分之间选择：</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rPr>
              <w:t>①</w:t>
            </w:r>
            <w:r>
              <w:rPr>
                <w:rFonts w:ascii="Times New Roman" w:hAnsi="Times New Roman" w:eastAsia="仿宋_GB2312"/>
                <w:spacing w:val="-10"/>
                <w:kern w:val="0"/>
                <w:sz w:val="24"/>
              </w:rPr>
              <w:t>措施到位，满足考评指标要求。</w:t>
            </w:r>
          </w:p>
          <w:p>
            <w:pPr>
              <w:tabs>
                <w:tab w:val="left" w:pos="360"/>
              </w:tabs>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得分：1</w:t>
            </w:r>
            <w:r>
              <w:rPr>
                <w:rFonts w:ascii="Times New Roman" w:hAnsi="Times New Roman"/>
                <w:spacing w:val="-10"/>
                <w:kern w:val="0"/>
                <w:sz w:val="24"/>
              </w:rPr>
              <w:t>.</w:t>
            </w:r>
            <w:r>
              <w:rPr>
                <w:rFonts w:ascii="Times New Roman" w:hAnsi="Times New Roman" w:eastAsia="仿宋_GB2312"/>
                <w:spacing w:val="-10"/>
                <w:kern w:val="0"/>
                <w:sz w:val="24"/>
              </w:rPr>
              <w:t>0</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rPr>
              <w:t>②</w:t>
            </w:r>
            <w:r>
              <w:rPr>
                <w:rFonts w:ascii="Times New Roman" w:hAnsi="Times New Roman" w:eastAsia="仿宋_GB2312"/>
                <w:spacing w:val="-12"/>
                <w:kern w:val="0"/>
                <w:sz w:val="24"/>
              </w:rPr>
              <w:t>措施基本到位，部分满足考评指标要求。</w:t>
            </w:r>
          </w:p>
          <w:p>
            <w:pPr>
              <w:overflowPunct w:val="0"/>
              <w:spacing w:line="320" w:lineRule="exact"/>
              <w:textAlignment w:val="center"/>
              <w:rPr>
                <w:rFonts w:ascii="Times New Roman" w:hAnsi="Times New Roman" w:eastAsia="仿宋_GB2312"/>
                <w:spacing w:val="-10"/>
                <w:kern w:val="0"/>
                <w:sz w:val="24"/>
              </w:rPr>
            </w:pPr>
            <w:r>
              <w:rPr>
                <w:rFonts w:ascii="Times New Roman" w:hAnsi="Times New Roman" w:eastAsia="仿宋_GB2312"/>
                <w:spacing w:val="-10"/>
                <w:kern w:val="0"/>
                <w:sz w:val="24"/>
              </w:rPr>
              <w:t>得分：0</w:t>
            </w:r>
            <w:r>
              <w:rPr>
                <w:rFonts w:ascii="Times New Roman" w:hAnsi="Times New Roman"/>
                <w:spacing w:val="-10"/>
                <w:kern w:val="0"/>
                <w:sz w:val="24"/>
              </w:rPr>
              <w:t>.</w:t>
            </w:r>
            <w:r>
              <w:rPr>
                <w:rFonts w:ascii="Times New Roman" w:hAnsi="Times New Roman" w:eastAsia="仿宋_GB2312"/>
                <w:spacing w:val="-10"/>
                <w:kern w:val="0"/>
                <w:sz w:val="24"/>
              </w:rPr>
              <w:t>5</w:t>
            </w:r>
          </w:p>
          <w:p>
            <w:pPr>
              <w:tabs>
                <w:tab w:val="left" w:pos="360"/>
              </w:tabs>
              <w:overflowPunct w:val="0"/>
              <w:spacing w:line="320" w:lineRule="exact"/>
              <w:textAlignment w:val="center"/>
              <w:rPr>
                <w:rFonts w:ascii="Times New Roman" w:hAnsi="Times New Roman" w:eastAsia="仿宋_GB2312"/>
                <w:spacing w:val="-10"/>
                <w:kern w:val="0"/>
                <w:sz w:val="24"/>
              </w:rPr>
            </w:pPr>
            <w:r>
              <w:rPr>
                <w:rFonts w:hint="eastAsia" w:ascii="宋体" w:hAnsi="宋体" w:cs="宋体"/>
                <w:spacing w:val="-10"/>
                <w:kern w:val="0"/>
                <w:sz w:val="24"/>
                <w:lang w:eastAsia="ja-JP"/>
              </w:rPr>
              <w:t>③</w:t>
            </w:r>
            <w:r>
              <w:rPr>
                <w:rFonts w:ascii="Times New Roman" w:hAnsi="Times New Roman" w:eastAsia="仿宋_GB2312"/>
                <w:spacing w:val="-10"/>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spacing w:val="-10"/>
                <w:kern w:val="0"/>
                <w:sz w:val="24"/>
              </w:rPr>
              <w:t>得分：0</w:t>
            </w: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现场应设置可移动环保厕所，并应定期清运、消毒。</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现场应设噪声监测点，并应实施动态监测。</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kern w:val="0"/>
                <w:sz w:val="24"/>
              </w:rPr>
              <w:t>现场应有医务室，人员健康应急预案应完善。</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5</w:t>
            </w:r>
            <w:r>
              <w:rPr>
                <w:rFonts w:hint="eastAsia" w:ascii="Times New Roman" w:hAnsi="Times New Roman" w:eastAsia="仿宋_GB2312"/>
                <w:kern w:val="0"/>
                <w:sz w:val="24"/>
              </w:rPr>
              <w:t>　</w:t>
            </w:r>
            <w:r>
              <w:rPr>
                <w:rFonts w:ascii="Times New Roman" w:hAnsi="Times New Roman" w:eastAsia="仿宋_GB2312"/>
                <w:kern w:val="0"/>
                <w:sz w:val="24"/>
              </w:rPr>
              <w:t>施工应采取基坑封闭降水措施。</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6</w:t>
            </w:r>
            <w:r>
              <w:rPr>
                <w:rFonts w:hint="eastAsia" w:ascii="Times New Roman" w:hAnsi="Times New Roman" w:eastAsia="仿宋_GB2312"/>
                <w:kern w:val="0"/>
                <w:sz w:val="24"/>
              </w:rPr>
              <w:t>　</w:t>
            </w:r>
            <w:r>
              <w:rPr>
                <w:rFonts w:ascii="Times New Roman" w:hAnsi="Times New Roman" w:eastAsia="仿宋_GB2312"/>
                <w:kern w:val="0"/>
                <w:sz w:val="24"/>
              </w:rPr>
              <w:t>现场应采用喷雾设备降尘。</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7</w:t>
            </w:r>
            <w:r>
              <w:rPr>
                <w:rFonts w:hint="eastAsia" w:ascii="Times New Roman" w:hAnsi="Times New Roman" w:eastAsia="仿宋_GB2312"/>
                <w:kern w:val="0"/>
                <w:sz w:val="24"/>
              </w:rPr>
              <w:t>　</w:t>
            </w:r>
            <w:r>
              <w:rPr>
                <w:rFonts w:ascii="Times New Roman" w:hAnsi="Times New Roman" w:eastAsia="仿宋_GB2312"/>
                <w:spacing w:val="-6"/>
                <w:kern w:val="0"/>
                <w:sz w:val="24"/>
              </w:rPr>
              <w:t>建筑垃圾回收利用率应达到50%。</w:t>
            </w:r>
          </w:p>
        </w:tc>
        <w:tc>
          <w:tcPr>
            <w:tcW w:w="1282" w:type="pct"/>
            <w:gridSpan w:val="4"/>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8"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470"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5</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8</w:t>
            </w:r>
            <w:r>
              <w:rPr>
                <w:rFonts w:hint="eastAsia" w:ascii="Times New Roman" w:hAnsi="Times New Roman" w:eastAsia="仿宋_GB2312"/>
                <w:kern w:val="0"/>
                <w:sz w:val="24"/>
              </w:rPr>
              <w:t>　</w:t>
            </w:r>
            <w:r>
              <w:rPr>
                <w:rFonts w:ascii="Times New Roman" w:hAnsi="Times New Roman" w:eastAsia="仿宋_GB2312"/>
                <w:kern w:val="0"/>
                <w:sz w:val="24"/>
              </w:rPr>
              <w:t>工程污水应采取去泥沙、除油污、分解有机物、沉淀过滤、酸碱中和等处理方式，实现达标排放。</w:t>
            </w:r>
          </w:p>
        </w:tc>
        <w:tc>
          <w:tcPr>
            <w:tcW w:w="1282" w:type="pct"/>
            <w:gridSpan w:val="4"/>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9" w:hRule="atLeast"/>
          <w:jc w:val="center"/>
        </w:trPr>
        <w:tc>
          <w:tcPr>
            <w:tcW w:w="288" w:type="pct"/>
            <w:tcBorders>
              <w:top w:val="single" w:color="auto" w:sz="8" w:space="0"/>
              <w:left w:val="single" w:color="auto" w:sz="8" w:space="0"/>
              <w:bottom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评价结果</w:t>
            </w:r>
          </w:p>
        </w:tc>
        <w:tc>
          <w:tcPr>
            <w:tcW w:w="4712" w:type="pct"/>
            <w:gridSpan w:val="9"/>
            <w:tcBorders>
              <w:top w:val="single" w:color="auto" w:sz="8" w:space="0"/>
              <w:bottom w:val="single" w:color="auto" w:sz="8" w:space="0"/>
              <w:right w:val="single" w:color="auto" w:sz="8" w:space="0"/>
            </w:tcBorders>
            <w:shd w:val="clear" w:color="auto" w:fill="auto"/>
            <w:vAlign w:val="center"/>
          </w:tcPr>
          <w:p>
            <w:pPr>
              <w:overflowPunct w:val="0"/>
              <w:spacing w:line="260" w:lineRule="exact"/>
              <w:jc w:val="center"/>
              <w:textAlignment w:val="center"/>
              <w:rPr>
                <w:rFonts w:ascii="Times New Roman" w:hAnsi="Times New Roman" w:eastAsia="仿宋_GB2312"/>
                <w:b/>
                <w:kern w:val="0"/>
                <w:sz w:val="24"/>
              </w:rPr>
            </w:pPr>
          </w:p>
          <w:p>
            <w:pPr>
              <w:overflowPunct w:val="0"/>
              <w:spacing w:line="360" w:lineRule="exact"/>
              <w:textAlignment w:val="center"/>
              <w:rPr>
                <w:rFonts w:ascii="Times New Roman" w:hAnsi="Times New Roman" w:eastAsia="仿宋_GB2312"/>
                <w:b/>
                <w:kern w:val="0"/>
                <w:sz w:val="24"/>
              </w:rPr>
            </w:pPr>
            <w:r>
              <w:rPr>
                <w:rFonts w:ascii="Times New Roman" w:hAnsi="Times New Roman" w:eastAsia="仿宋_GB2312"/>
                <w:b/>
                <w:kern w:val="0"/>
                <w:sz w:val="24"/>
              </w:rPr>
              <w:t>一般项得分A</w:t>
            </w:r>
            <w:r>
              <w:rPr>
                <w:rFonts w:ascii="宋体" w:hAnsi="宋体"/>
                <w:b/>
                <w:kern w:val="0"/>
                <w:sz w:val="24"/>
              </w:rPr>
              <w:t>＝</w:t>
            </w:r>
            <w:r>
              <w:rPr>
                <w:rFonts w:ascii="Times New Roman" w:hAnsi="Times New Roman" w:eastAsia="仿宋_GB2312"/>
                <w:b/>
                <w:kern w:val="0"/>
                <w:sz w:val="24"/>
              </w:rPr>
              <w:t>（B/C）</w:t>
            </w:r>
            <w:r>
              <w:rPr>
                <w:rFonts w:hint="eastAsia" w:ascii="宋体" w:hAnsi="宋体"/>
                <w:b/>
                <w:kern w:val="0"/>
                <w:sz w:val="24"/>
              </w:rPr>
              <w:t>×</w:t>
            </w:r>
            <w:r>
              <w:rPr>
                <w:rFonts w:ascii="Times New Roman" w:hAnsi="Times New Roman" w:eastAsia="仿宋_GB2312"/>
                <w:b/>
                <w:kern w:val="0"/>
                <w:sz w:val="24"/>
              </w:rPr>
              <w:t>100</w:t>
            </w:r>
            <w:r>
              <w:rPr>
                <w:rFonts w:ascii="宋体" w:hAnsi="宋体"/>
                <w:b/>
                <w:kern w:val="0"/>
                <w:sz w:val="24"/>
              </w:rPr>
              <w:t>＝</w:t>
            </w:r>
          </w:p>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式中：A</w:t>
            </w:r>
            <w:r>
              <w:rPr>
                <w:rFonts w:hint="eastAsia" w:ascii="方正书宋_GBK" w:hAnsi="Times New Roman" w:eastAsia="方正书宋_GBK"/>
                <w:kern w:val="0"/>
                <w:sz w:val="24"/>
              </w:rPr>
              <w:t>-</w:t>
            </w:r>
            <w:r>
              <w:rPr>
                <w:rFonts w:ascii="Times New Roman" w:hAnsi="Times New Roman" w:eastAsia="仿宋_GB2312"/>
                <w:kern w:val="0"/>
                <w:sz w:val="24"/>
              </w:rPr>
              <w:t>折算分</w:t>
            </w:r>
          </w:p>
          <w:p>
            <w:pPr>
              <w:overflowPunct w:val="0"/>
              <w:spacing w:line="360" w:lineRule="exact"/>
              <w:ind w:firstLine="720" w:firstLineChars="300"/>
              <w:textAlignment w:val="center"/>
              <w:rPr>
                <w:rFonts w:ascii="Times New Roman" w:hAnsi="Times New Roman" w:eastAsia="仿宋_GB2312"/>
                <w:kern w:val="0"/>
                <w:sz w:val="24"/>
              </w:rPr>
            </w:pPr>
            <w:r>
              <w:rPr>
                <w:rFonts w:ascii="Times New Roman" w:hAnsi="Times New Roman" w:eastAsia="仿宋_GB2312"/>
                <w:kern w:val="0"/>
                <w:sz w:val="24"/>
              </w:rPr>
              <w:t>B</w:t>
            </w:r>
            <w:r>
              <w:rPr>
                <w:rFonts w:hint="eastAsia" w:ascii="方正书宋_GBK" w:hAnsi="Times New Roman" w:eastAsia="方正书宋_GBK"/>
                <w:kern w:val="0"/>
                <w:sz w:val="24"/>
              </w:rPr>
              <w:t>-</w:t>
            </w:r>
            <w:r>
              <w:rPr>
                <w:rFonts w:ascii="Times New Roman" w:hAnsi="Times New Roman" w:eastAsia="仿宋_GB2312"/>
                <w:kern w:val="0"/>
                <w:sz w:val="24"/>
              </w:rPr>
              <w:t>实际发生项条目实得分之和</w:t>
            </w:r>
          </w:p>
          <w:p>
            <w:pPr>
              <w:overflowPunct w:val="0"/>
              <w:spacing w:line="360" w:lineRule="exact"/>
              <w:ind w:firstLine="720" w:firstLineChars="300"/>
              <w:textAlignment w:val="center"/>
              <w:rPr>
                <w:rFonts w:ascii="Times New Roman" w:hAnsi="Times New Roman" w:eastAsia="仿宋_GB2312"/>
                <w:kern w:val="0"/>
                <w:sz w:val="24"/>
              </w:rPr>
            </w:pPr>
            <w:r>
              <w:rPr>
                <w:rFonts w:ascii="Times New Roman" w:hAnsi="Times New Roman" w:eastAsia="仿宋_GB2312"/>
                <w:kern w:val="0"/>
                <w:sz w:val="24"/>
              </w:rPr>
              <w:t>C</w:t>
            </w:r>
            <w:r>
              <w:rPr>
                <w:rFonts w:hint="eastAsia" w:ascii="方正书宋_GBK" w:hAnsi="Times New Roman" w:eastAsia="方正书宋_GBK"/>
                <w:kern w:val="0"/>
                <w:sz w:val="24"/>
              </w:rPr>
              <w:t>-</w:t>
            </w:r>
            <w:r>
              <w:rPr>
                <w:rFonts w:ascii="Times New Roman" w:hAnsi="Times New Roman" w:eastAsia="仿宋_GB2312"/>
                <w:kern w:val="0"/>
                <w:sz w:val="24"/>
              </w:rPr>
              <w:t>实际发生项条目应得分之和</w:t>
            </w:r>
          </w:p>
          <w:p>
            <w:pPr>
              <w:overflowPunct w:val="0"/>
              <w:spacing w:line="360" w:lineRule="exact"/>
              <w:textAlignment w:val="center"/>
              <w:rPr>
                <w:rFonts w:ascii="Times New Roman" w:hAnsi="Times New Roman" w:eastAsia="仿宋_GB2312"/>
                <w:b/>
                <w:kern w:val="0"/>
                <w:sz w:val="24"/>
              </w:rPr>
            </w:pPr>
            <w:r>
              <w:rPr>
                <w:rFonts w:ascii="Times New Roman" w:hAnsi="Times New Roman" w:eastAsia="仿宋_GB2312"/>
                <w:b/>
                <w:kern w:val="0"/>
                <w:sz w:val="24"/>
              </w:rPr>
              <w:t>优选项得分D</w:t>
            </w:r>
            <w:r>
              <w:rPr>
                <w:rFonts w:ascii="宋体" w:hAnsi="宋体"/>
                <w:b/>
                <w:kern w:val="0"/>
                <w:sz w:val="24"/>
              </w:rPr>
              <w:t>＝</w:t>
            </w:r>
          </w:p>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式中：D</w:t>
            </w:r>
            <w:r>
              <w:rPr>
                <w:rFonts w:hint="eastAsia" w:ascii="方正书宋_GBK" w:hAnsi="Times New Roman" w:eastAsia="方正书宋_GBK"/>
                <w:kern w:val="0"/>
                <w:sz w:val="24"/>
              </w:rPr>
              <w:t>-</w:t>
            </w:r>
            <w:r>
              <w:rPr>
                <w:rFonts w:ascii="Times New Roman" w:hAnsi="Times New Roman" w:eastAsia="仿宋_GB2312"/>
                <w:kern w:val="0"/>
                <w:sz w:val="24"/>
              </w:rPr>
              <w:t>优选项实际发生条目加分之和</w:t>
            </w:r>
          </w:p>
          <w:p>
            <w:pPr>
              <w:overflowPunct w:val="0"/>
              <w:spacing w:line="360" w:lineRule="exact"/>
              <w:textAlignment w:val="center"/>
              <w:rPr>
                <w:rFonts w:ascii="Times New Roman" w:hAnsi="Times New Roman" w:eastAsia="仿宋_GB2312"/>
                <w:b/>
                <w:kern w:val="0"/>
                <w:sz w:val="24"/>
              </w:rPr>
            </w:pPr>
            <w:r>
              <w:rPr>
                <w:rFonts w:ascii="Times New Roman" w:hAnsi="Times New Roman" w:eastAsia="仿宋_GB2312"/>
                <w:b/>
                <w:kern w:val="0"/>
                <w:sz w:val="24"/>
              </w:rPr>
              <w:t>要素评价得分F</w:t>
            </w:r>
            <w:r>
              <w:rPr>
                <w:rFonts w:ascii="宋体" w:hAnsi="宋体"/>
                <w:b/>
                <w:kern w:val="0"/>
                <w:sz w:val="24"/>
              </w:rPr>
              <w:t>＝</w:t>
            </w:r>
          </w:p>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式中：F</w:t>
            </w:r>
            <w:r>
              <w:rPr>
                <w:rFonts w:ascii="宋体" w:hAnsi="宋体"/>
                <w:kern w:val="0"/>
                <w:sz w:val="24"/>
              </w:rPr>
              <w:t>＝</w:t>
            </w:r>
            <w:r>
              <w:rPr>
                <w:rFonts w:ascii="Times New Roman" w:hAnsi="Times New Roman" w:eastAsia="仿宋_GB2312"/>
                <w:kern w:val="0"/>
                <w:sz w:val="24"/>
              </w:rPr>
              <w:t>一般项得分A</w:t>
            </w:r>
            <w:r>
              <w:rPr>
                <w:rFonts w:hint="eastAsia" w:ascii="宋体" w:hAnsi="宋体"/>
                <w:kern w:val="0"/>
                <w:sz w:val="24"/>
              </w:rPr>
              <w:t>＋</w:t>
            </w:r>
            <w:r>
              <w:rPr>
                <w:rFonts w:ascii="Times New Roman" w:hAnsi="Times New Roman" w:eastAsia="仿宋_GB2312"/>
                <w:kern w:val="0"/>
                <w:sz w:val="24"/>
              </w:rPr>
              <w:t>优选项得分D</w:t>
            </w:r>
          </w:p>
          <w:p>
            <w:pPr>
              <w:overflowPunct w:val="0"/>
              <w:spacing w:line="260" w:lineRule="exact"/>
              <w:jc w:val="center"/>
              <w:textAlignment w:val="center"/>
              <w:rPr>
                <w:rFonts w:ascii="Times New Roman" w:hAnsi="Times New Roman" w:eastAsia="仿宋_GB2312"/>
                <w:b/>
                <w:kern w:val="0"/>
                <w:sz w:val="24"/>
              </w:rPr>
            </w:pPr>
          </w:p>
        </w:tc>
      </w:tr>
    </w:tbl>
    <w:p>
      <w:pPr>
        <w:widowControl/>
        <w:spacing w:line="100" w:lineRule="exact"/>
        <w:jc w:val="left"/>
        <w:rPr>
          <w:rFonts w:ascii="Times New Roman" w:hAnsi="Times New Roman" w:eastAsia="黑体"/>
          <w:sz w:val="32"/>
        </w:rPr>
      </w:pPr>
      <w:r>
        <w:rPr>
          <w:rFonts w:ascii="Times New Roman" w:hAnsi="Times New Roman" w:eastAsia="黑体"/>
          <w:sz w:val="32"/>
        </w:rPr>
        <w:br w:type="page"/>
      </w:r>
    </w:p>
    <w:p>
      <w:pPr>
        <w:rPr>
          <w:rFonts w:ascii="Times New Roman" w:hAnsi="Times New Roman" w:eastAsia="黑体"/>
          <w:sz w:val="32"/>
        </w:rPr>
      </w:pPr>
      <w:r>
        <w:rPr>
          <w:rFonts w:hint="eastAsia" w:ascii="Times New Roman" w:hAnsi="Times New Roman" w:eastAsia="黑体"/>
          <w:sz w:val="32"/>
        </w:rPr>
        <w:t>附表2</w:t>
      </w:r>
      <w:r>
        <w:rPr>
          <w:rFonts w:hint="eastAsia" w:ascii="方正书宋_GBK" w:hAnsi="Times New Roman" w:eastAsia="方正书宋_GBK"/>
          <w:sz w:val="32"/>
        </w:rPr>
        <w:t>-</w:t>
      </w:r>
      <w:r>
        <w:rPr>
          <w:rFonts w:hint="eastAsia" w:ascii="Times New Roman" w:hAnsi="Times New Roman" w:eastAsia="黑体"/>
          <w:sz w:val="32"/>
        </w:rPr>
        <w:t>2</w:t>
      </w:r>
    </w:p>
    <w:p>
      <w:pPr>
        <w:spacing w:before="144" w:beforeLines="60" w:after="144" w:afterLines="6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节材与材料资源利用要素评价表</w:t>
      </w: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5"/>
        <w:gridCol w:w="1126"/>
        <w:gridCol w:w="3663"/>
        <w:gridCol w:w="1869"/>
        <w:gridCol w:w="9"/>
        <w:gridCol w:w="841"/>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905" w:type="pct"/>
            <w:gridSpan w:val="2"/>
            <w:tcBorders>
              <w:top w:val="single" w:color="000000" w:sz="8"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2046" w:type="pct"/>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1044" w:type="pct"/>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1005" w:type="pct"/>
            <w:gridSpan w:val="3"/>
            <w:tcBorders>
              <w:top w:val="single" w:color="000000" w:sz="8"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905" w:type="pct"/>
            <w:gridSpan w:val="2"/>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2046"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1044"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专家签字</w:t>
            </w:r>
          </w:p>
        </w:tc>
        <w:tc>
          <w:tcPr>
            <w:tcW w:w="1005" w:type="pct"/>
            <w:gridSpan w:val="3"/>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905" w:type="pct"/>
            <w:gridSpan w:val="2"/>
            <w:tcBorders>
              <w:top w:val="single" w:color="000000" w:sz="2" w:space="0"/>
              <w:left w:val="single" w:color="000000" w:sz="8"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2046" w:type="pct"/>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p>
        </w:tc>
        <w:tc>
          <w:tcPr>
            <w:tcW w:w="1044" w:type="pct"/>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1005" w:type="pct"/>
            <w:gridSpan w:val="3"/>
            <w:tcBorders>
              <w:top w:val="single" w:color="000000" w:sz="2" w:space="0"/>
              <w:left w:val="single" w:color="000000" w:sz="2" w:space="0"/>
              <w:bottom w:val="single" w:color="000000" w:sz="8"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控制项</w:t>
            </w:r>
          </w:p>
        </w:tc>
        <w:tc>
          <w:tcPr>
            <w:tcW w:w="2675" w:type="pct"/>
            <w:gridSpan w:val="2"/>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044" w:type="pct"/>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评价标准</w:t>
            </w:r>
          </w:p>
        </w:tc>
        <w:tc>
          <w:tcPr>
            <w:tcW w:w="1005" w:type="pct"/>
            <w:gridSpan w:val="3"/>
            <w:tcBorders>
              <w:top w:val="single" w:color="000000" w:sz="8"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80"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应根据就地取材的原则进行材料选择并有实施记录。</w:t>
            </w:r>
          </w:p>
        </w:tc>
        <w:tc>
          <w:tcPr>
            <w:tcW w:w="1044"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60" w:lineRule="exact"/>
              <w:textAlignment w:val="center"/>
              <w:rPr>
                <w:rFonts w:ascii="Times New Roman" w:hAnsi="Times New Roman" w:eastAsia="仿宋_GB2312"/>
                <w:spacing w:val="-6"/>
                <w:sz w:val="24"/>
              </w:rPr>
            </w:pPr>
            <w:r>
              <w:rPr>
                <w:rFonts w:ascii="Times New Roman" w:hAnsi="Times New Roman" w:eastAsia="仿宋_GB2312"/>
                <w:spacing w:val="-6"/>
                <w:kern w:val="0"/>
                <w:sz w:val="24"/>
              </w:rPr>
              <w:t>措施到位，全部满足要求，</w:t>
            </w:r>
            <w:r>
              <w:rPr>
                <w:rFonts w:ascii="Times New Roman" w:hAnsi="Times New Roman" w:eastAsia="仿宋_GB2312"/>
                <w:spacing w:val="-6"/>
                <w:sz w:val="24"/>
              </w:rPr>
              <w:t>进入一般项和优选项评价流程；</w:t>
            </w:r>
            <w:r>
              <w:rPr>
                <w:rFonts w:ascii="Times New Roman" w:hAnsi="Times New Roman" w:eastAsia="仿宋_GB2312"/>
                <w:spacing w:val="-6"/>
                <w:kern w:val="0"/>
                <w:sz w:val="24"/>
              </w:rPr>
              <w:t>否则，</w:t>
            </w:r>
            <w:r>
              <w:rPr>
                <w:rFonts w:ascii="Times New Roman" w:hAnsi="Times New Roman" w:eastAsia="仿宋_GB2312"/>
                <w:spacing w:val="-6"/>
                <w:sz w:val="24"/>
              </w:rPr>
              <w:t>为非绿色施工要素。</w:t>
            </w:r>
          </w:p>
        </w:tc>
        <w:tc>
          <w:tcPr>
            <w:tcW w:w="1005" w:type="pct"/>
            <w:gridSpan w:val="3"/>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5" w:hRule="atLeast"/>
        </w:trPr>
        <w:tc>
          <w:tcPr>
            <w:tcW w:w="276" w:type="pct"/>
            <w:vMerge w:val="continue"/>
            <w:tcBorders>
              <w:top w:val="single" w:color="000000" w:sz="2" w:space="0"/>
              <w:left w:val="single" w:color="000000" w:sz="8"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应有健全的机械保养、限额领料、建筑垃圾再生利用等制度。</w:t>
            </w:r>
          </w:p>
        </w:tc>
        <w:tc>
          <w:tcPr>
            <w:tcW w:w="1044" w:type="pct"/>
            <w:vMerge w:val="continue"/>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1005" w:type="pct"/>
            <w:gridSpan w:val="3"/>
            <w:tcBorders>
              <w:top w:val="single" w:color="000000" w:sz="2" w:space="0"/>
              <w:left w:val="single" w:color="000000" w:sz="2" w:space="0"/>
              <w:bottom w:val="single" w:color="000000" w:sz="8"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675" w:type="pct"/>
            <w:gridSpan w:val="2"/>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044" w:type="pct"/>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75" w:type="pct"/>
            <w:gridSpan w:val="2"/>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530" w:type="pct"/>
            <w:tcBorders>
              <w:top w:val="single" w:color="000000" w:sz="8"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b/>
                <w:kern w:val="0"/>
                <w:sz w:val="24"/>
              </w:rPr>
            </w:pPr>
            <w:r>
              <w:rPr>
                <w:rFonts w:ascii="Times New Roman" w:hAnsi="Times New Roman" w:eastAsia="仿宋_GB2312"/>
                <w:b/>
                <w:sz w:val="24"/>
              </w:rPr>
              <w:t>6</w:t>
            </w:r>
            <w:r>
              <w:rPr>
                <w:rFonts w:ascii="Times New Roman" w:hAnsi="Times New Roman"/>
                <w:b/>
                <w:sz w:val="24"/>
              </w:rPr>
              <w:t>.</w:t>
            </w:r>
            <w:r>
              <w:rPr>
                <w:rFonts w:ascii="Times New Roman" w:hAnsi="Times New Roman" w:eastAsia="仿宋_GB2312"/>
                <w:b/>
                <w:sz w:val="24"/>
              </w:rPr>
              <w:t>2</w:t>
            </w:r>
            <w:r>
              <w:rPr>
                <w:rFonts w:ascii="Times New Roman" w:hAnsi="Times New Roman"/>
                <w:b/>
                <w:sz w:val="24"/>
              </w:rPr>
              <w:t>.</w:t>
            </w:r>
            <w:r>
              <w:rPr>
                <w:rFonts w:ascii="Times New Roman" w:hAnsi="Times New Roman" w:eastAsia="仿宋_GB2312"/>
                <w:b/>
                <w:sz w:val="24"/>
              </w:rPr>
              <w:t>1</w:t>
            </w:r>
            <w:r>
              <w:rPr>
                <w:rFonts w:hint="eastAsia" w:ascii="Times New Roman" w:hAnsi="Times New Roman" w:eastAsia="仿宋_GB2312"/>
                <w:b/>
                <w:sz w:val="24"/>
              </w:rPr>
              <w:t>　</w:t>
            </w:r>
            <w:r>
              <w:rPr>
                <w:rFonts w:ascii="Times New Roman" w:hAnsi="Times New Roman" w:eastAsia="仿宋_GB2312"/>
                <w:b/>
                <w:kern w:val="0"/>
                <w:sz w:val="24"/>
              </w:rPr>
              <w:t>材料的选择应符合下列规定：</w:t>
            </w:r>
          </w:p>
        </w:tc>
        <w:tc>
          <w:tcPr>
            <w:tcW w:w="1044"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1 施工应选用绿色、环保材料。</w:t>
            </w:r>
          </w:p>
        </w:tc>
        <w:tc>
          <w:tcPr>
            <w:tcW w:w="1044"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2分之间选择：</w:t>
            </w:r>
          </w:p>
          <w:p>
            <w:pPr>
              <w:tabs>
                <w:tab w:val="left" w:pos="360"/>
              </w:tabs>
              <w:overflowPunct w:val="0"/>
              <w:spacing w:line="296" w:lineRule="exact"/>
              <w:textAlignment w:val="center"/>
              <w:rPr>
                <w:rFonts w:ascii="Times New Roman" w:hAnsi="Times New Roman" w:eastAsia="仿宋_GB2312"/>
                <w:kern w:val="0"/>
                <w:sz w:val="24"/>
              </w:rPr>
            </w:pPr>
            <w:r>
              <w:rPr>
                <w:rFonts w:hint="eastAsia" w:ascii="宋体" w:hAnsi="宋体" w:cs="宋体"/>
                <w:kern w:val="0"/>
                <w:sz w:val="24"/>
              </w:rPr>
              <w:t>①</w:t>
            </w:r>
            <w:r>
              <w:rPr>
                <w:rFonts w:ascii="Times New Roman" w:hAnsi="Times New Roman" w:eastAsia="仿宋_GB2312"/>
                <w:spacing w:val="-8"/>
                <w:kern w:val="0"/>
                <w:sz w:val="24"/>
              </w:rPr>
              <w:t>措施到位，满足考评指标要求。</w:t>
            </w:r>
          </w:p>
          <w:p>
            <w:pPr>
              <w:tabs>
                <w:tab w:val="left" w:pos="360"/>
              </w:tabs>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得分：2</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296" w:lineRule="exact"/>
              <w:textAlignment w:val="center"/>
              <w:rPr>
                <w:rFonts w:ascii="Times New Roman" w:hAnsi="Times New Roman" w:eastAsia="仿宋_GB2312"/>
                <w:kern w:val="0"/>
                <w:sz w:val="24"/>
              </w:rPr>
            </w:pPr>
            <w:r>
              <w:rPr>
                <w:rFonts w:hint="eastAsia" w:ascii="宋体" w:hAnsi="宋体" w:cs="宋体"/>
                <w:kern w:val="0"/>
                <w:sz w:val="24"/>
              </w:rPr>
              <w:t>②</w:t>
            </w:r>
            <w:r>
              <w:rPr>
                <w:rFonts w:ascii="Times New Roman" w:hAnsi="Times New Roman" w:eastAsia="仿宋_GB2312"/>
                <w:kern w:val="0"/>
                <w:sz w:val="24"/>
              </w:rPr>
              <w:t>措施基本到位，部分满足考评指标要求。</w:t>
            </w:r>
          </w:p>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296" w:lineRule="exact"/>
              <w:textAlignment w:val="center"/>
              <w:rPr>
                <w:rFonts w:ascii="Times New Roman" w:hAnsi="Times New Roman" w:eastAsia="仿宋_GB2312"/>
                <w:kern w:val="0"/>
                <w:sz w:val="24"/>
              </w:rPr>
            </w:pPr>
            <w:r>
              <w:rPr>
                <w:rFonts w:hint="eastAsia" w:ascii="宋体" w:hAnsi="宋体" w:cs="宋体"/>
                <w:kern w:val="0"/>
                <w:sz w:val="24"/>
                <w:lang w:eastAsia="ja-JP"/>
              </w:rPr>
              <w:t>③</w:t>
            </w:r>
            <w:r>
              <w:rPr>
                <w:rFonts w:ascii="Times New Roman" w:hAnsi="Times New Roman" w:eastAsia="仿宋_GB2312"/>
                <w:kern w:val="0"/>
                <w:sz w:val="24"/>
              </w:rPr>
              <w:t>措施不到位，不满足考评指标要求。</w:t>
            </w:r>
          </w:p>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得分：0</w:t>
            </w: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2 临建设施应采用可拆迁、可回收材料。</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57"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sz w:val="24"/>
              </w:rPr>
            </w:pPr>
            <w:r>
              <w:rPr>
                <w:rFonts w:ascii="Times New Roman" w:hAnsi="Times New Roman" w:eastAsia="仿宋_GB2312"/>
                <w:kern w:val="0"/>
                <w:sz w:val="24"/>
              </w:rPr>
              <w:t>3 应利用粉煤灰、矿渣、外加剂等新材料降低混凝土和砂浆中的水泥用量；粉煤灰、矿渣、外加剂等新材料掺量应按供货单位推荐掺量、使用要求、施工条件、原材料等因素通过试验确定。</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b/>
                <w:kern w:val="0"/>
                <w:sz w:val="24"/>
              </w:rPr>
            </w:pPr>
            <w:r>
              <w:rPr>
                <w:rFonts w:ascii="Times New Roman" w:hAnsi="Times New Roman" w:eastAsia="仿宋_GB2312"/>
                <w:b/>
                <w:kern w:val="0"/>
                <w:sz w:val="24"/>
              </w:rPr>
              <w:t>6</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2</w:t>
            </w:r>
            <w:r>
              <w:rPr>
                <w:rFonts w:hint="eastAsia" w:ascii="Times New Roman" w:hAnsi="Times New Roman" w:eastAsia="仿宋_GB2312"/>
                <w:b/>
                <w:kern w:val="0"/>
                <w:sz w:val="24"/>
              </w:rPr>
              <w:t>　</w:t>
            </w:r>
            <w:r>
              <w:rPr>
                <w:rFonts w:ascii="Times New Roman" w:hAnsi="Times New Roman" w:eastAsia="仿宋_GB2312"/>
                <w:b/>
                <w:kern w:val="0"/>
                <w:sz w:val="24"/>
              </w:rPr>
              <w:t>材料节约应符合下列规定：</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1 应采用管件合一的脚手架和支撑体系。</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kern w:val="0"/>
                <w:sz w:val="24"/>
              </w:rPr>
            </w:pPr>
            <w:r>
              <w:rPr>
                <w:rFonts w:ascii="Times New Roman" w:hAnsi="Times New Roman" w:eastAsia="仿宋_GB2312"/>
                <w:kern w:val="0"/>
                <w:sz w:val="24"/>
              </w:rPr>
              <w:t>2 应采用工具式模板和新型模板材料，如铝合金、塑料、玻璃钢和其他可再生材质的大模板和钢框镶边模板。</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 xml:space="preserve">3 </w:t>
            </w:r>
            <w:r>
              <w:rPr>
                <w:rFonts w:ascii="Times New Roman" w:hAnsi="Times New Roman" w:eastAsia="仿宋_GB2312"/>
                <w:spacing w:val="-6"/>
                <w:kern w:val="0"/>
                <w:sz w:val="24"/>
              </w:rPr>
              <w:t>材料运输方法应科学，应降低运输损耗率。</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4 应优化线材下料方案。</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5 面材、块材</w:t>
            </w:r>
            <w:r>
              <w:rPr>
                <w:rFonts w:hint="eastAsia" w:ascii="方正仿宋_GBK" w:hAnsi="Times New Roman" w:eastAsia="方正仿宋_GBK"/>
                <w:kern w:val="0"/>
                <w:sz w:val="24"/>
              </w:rPr>
              <w:t>鑲</w:t>
            </w:r>
            <w:r>
              <w:rPr>
                <w:rFonts w:ascii="Times New Roman" w:hAnsi="Times New Roman" w:eastAsia="仿宋_GB2312"/>
                <w:kern w:val="0"/>
                <w:sz w:val="24"/>
              </w:rPr>
              <w:t>贴，应做到预先总体排版。</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sz w:val="24"/>
              </w:rPr>
            </w:pPr>
            <w:r>
              <w:rPr>
                <w:rFonts w:ascii="Times New Roman" w:hAnsi="Times New Roman" w:eastAsia="仿宋_GB2312"/>
                <w:kern w:val="0"/>
                <w:sz w:val="24"/>
              </w:rPr>
              <w:t>6 应因地制宜，采用新技术、新工艺、新设备、新材料。</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sz w:val="24"/>
              </w:rPr>
            </w:pPr>
            <w:r>
              <w:rPr>
                <w:rFonts w:ascii="Times New Roman" w:hAnsi="Times New Roman" w:eastAsia="仿宋_GB2312"/>
                <w:kern w:val="0"/>
                <w:sz w:val="24"/>
              </w:rPr>
              <w:t>7 应提高模板、脚手架体系的周转率。</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b/>
                <w:kern w:val="0"/>
                <w:sz w:val="24"/>
              </w:rPr>
            </w:pPr>
            <w:r>
              <w:rPr>
                <w:rFonts w:ascii="Times New Roman" w:hAnsi="Times New Roman" w:eastAsia="仿宋_GB2312"/>
                <w:b/>
                <w:kern w:val="0"/>
                <w:sz w:val="24"/>
              </w:rPr>
              <w:t>6</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3</w:t>
            </w:r>
            <w:r>
              <w:rPr>
                <w:rFonts w:hint="eastAsia" w:ascii="Times New Roman" w:hAnsi="Times New Roman" w:eastAsia="仿宋_GB2312"/>
                <w:b/>
                <w:kern w:val="0"/>
                <w:sz w:val="24"/>
              </w:rPr>
              <w:t>　</w:t>
            </w:r>
            <w:r>
              <w:rPr>
                <w:rFonts w:ascii="Times New Roman" w:hAnsi="Times New Roman" w:eastAsia="仿宋_GB2312"/>
                <w:b/>
                <w:kern w:val="0"/>
                <w:sz w:val="24"/>
              </w:rPr>
              <w:t>资源再生利用应符合下列规定：</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textAlignment w:val="center"/>
              <w:rPr>
                <w:rFonts w:ascii="Times New Roman" w:hAnsi="Times New Roman" w:eastAsia="仿宋_GB2312"/>
                <w:kern w:val="0"/>
                <w:sz w:val="24"/>
              </w:rPr>
            </w:pPr>
            <w:r>
              <w:rPr>
                <w:rFonts w:ascii="Times New Roman" w:hAnsi="Times New Roman" w:eastAsia="仿宋_GB2312"/>
                <w:kern w:val="0"/>
                <w:sz w:val="24"/>
              </w:rPr>
              <w:t>1 建筑余料应合理使用。</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restart"/>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kern w:val="0"/>
                <w:sz w:val="24"/>
              </w:rPr>
            </w:pPr>
            <w:r>
              <w:rPr>
                <w:rFonts w:ascii="Times New Roman" w:hAnsi="Times New Roman" w:eastAsia="仿宋_GB2312"/>
                <w:kern w:val="0"/>
                <w:sz w:val="24"/>
              </w:rPr>
              <w:t>2 板材、块材等下脚料和撒落混凝土及砂浆应科学利用。</w:t>
            </w:r>
          </w:p>
        </w:tc>
        <w:tc>
          <w:tcPr>
            <w:tcW w:w="1044"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kern w:val="0"/>
                <w:sz w:val="24"/>
              </w:rPr>
            </w:pPr>
            <w:r>
              <w:rPr>
                <w:rFonts w:ascii="Times New Roman" w:hAnsi="Times New Roman" w:eastAsia="仿宋_GB2312"/>
                <w:kern w:val="0"/>
                <w:sz w:val="24"/>
              </w:rPr>
              <w:t>3 临建设施应充分利用既有建筑物、市政设施和周边道路。</w:t>
            </w:r>
          </w:p>
        </w:tc>
        <w:tc>
          <w:tcPr>
            <w:tcW w:w="1044"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80" w:lineRule="exact"/>
              <w:textAlignment w:val="center"/>
              <w:rPr>
                <w:rFonts w:ascii="Times New Roman" w:hAnsi="Times New Roman" w:eastAsia="仿宋_GB2312"/>
                <w:kern w:val="0"/>
                <w:sz w:val="24"/>
              </w:rPr>
            </w:pPr>
            <w:r>
              <w:rPr>
                <w:rFonts w:ascii="Times New Roman" w:hAnsi="Times New Roman" w:eastAsia="仿宋_GB2312"/>
                <w:kern w:val="0"/>
                <w:sz w:val="24"/>
              </w:rPr>
              <w:t>4 现场办公用纸应分类摆放，纸张应两面使用，废纸应回收。</w:t>
            </w:r>
          </w:p>
        </w:tc>
        <w:tc>
          <w:tcPr>
            <w:tcW w:w="1044" w:type="pct"/>
            <w:vMerge w:val="continue"/>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c>
          <w:tcPr>
            <w:tcW w:w="475" w:type="pct"/>
            <w:gridSpan w:val="2"/>
            <w:tcBorders>
              <w:top w:val="single" w:color="000000" w:sz="2" w:space="0"/>
              <w:left w:val="single" w:color="000000" w:sz="2" w:space="0"/>
              <w:bottom w:val="single" w:color="000000" w:sz="8" w:space="0"/>
              <w:right w:val="single" w:color="000000" w:sz="2"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0" w:type="pct"/>
            <w:tcBorders>
              <w:top w:val="single" w:color="000000" w:sz="2" w:space="0"/>
              <w:left w:val="single" w:color="000000" w:sz="2" w:space="0"/>
              <w:bottom w:val="single" w:color="000000" w:sz="8" w:space="0"/>
              <w:right w:val="single" w:color="000000" w:sz="8" w:space="0"/>
            </w:tcBorders>
            <w:shd w:val="clear" w:color="auto" w:fill="auto"/>
            <w:vAlign w:val="center"/>
          </w:tcPr>
          <w:p>
            <w:pPr>
              <w:overflowPunct w:val="0"/>
              <w:spacing w:line="296"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优选项</w:t>
            </w:r>
          </w:p>
        </w:tc>
        <w:tc>
          <w:tcPr>
            <w:tcW w:w="2675" w:type="pct"/>
            <w:gridSpan w:val="2"/>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049" w:type="pct"/>
            <w:gridSpan w:val="2"/>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70" w:type="pct"/>
            <w:tcBorders>
              <w:top w:val="single" w:color="000000" w:sz="8"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530" w:type="pct"/>
            <w:tcBorders>
              <w:top w:val="single" w:color="000000" w:sz="8"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33"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spacing w:val="-6"/>
                <w:kern w:val="0"/>
                <w:sz w:val="24"/>
              </w:rPr>
              <w:t>应编制材料计划，应合理使用材料。</w:t>
            </w:r>
          </w:p>
        </w:tc>
        <w:tc>
          <w:tcPr>
            <w:tcW w:w="1049" w:type="pct"/>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textAlignment w:val="center"/>
              <w:rPr>
                <w:rFonts w:ascii="Times New Roman" w:hAnsi="Times New Roman" w:eastAsia="仿宋_GB2312"/>
                <w:spacing w:val="-6"/>
                <w:sz w:val="24"/>
              </w:rPr>
            </w:pPr>
            <w:r>
              <w:rPr>
                <w:rFonts w:ascii="Times New Roman" w:hAnsi="Times New Roman" w:eastAsia="仿宋_GB2312"/>
                <w:spacing w:val="-6"/>
                <w:sz w:val="24"/>
              </w:rPr>
              <w:t>每一条目得分据现场实际，在0</w:t>
            </w:r>
            <w:r>
              <w:rPr>
                <w:rFonts w:hint="eastAsia" w:ascii="方正书宋_GBK" w:hAnsi="Times New Roman" w:eastAsia="方正书宋_GBK"/>
                <w:spacing w:val="-6"/>
                <w:sz w:val="24"/>
              </w:rPr>
              <w:t>-</w:t>
            </w:r>
            <w:r>
              <w:rPr>
                <w:rFonts w:ascii="Times New Roman" w:hAnsi="Times New Roman" w:eastAsia="仿宋_GB2312"/>
                <w:spacing w:val="-6"/>
                <w:sz w:val="24"/>
              </w:rPr>
              <w:t>1分之间选择：</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①</w:t>
            </w:r>
            <w:r>
              <w:rPr>
                <w:rFonts w:ascii="Times New Roman" w:hAnsi="Times New Roman" w:eastAsia="仿宋_GB2312"/>
                <w:spacing w:val="-6"/>
                <w:kern w:val="0"/>
                <w:sz w:val="24"/>
              </w:rPr>
              <w:t>措施到位</w:t>
            </w:r>
            <w:r>
              <w:rPr>
                <w:rFonts w:ascii="Times New Roman" w:hAnsi="Times New Roman" w:eastAsia="仿宋_GB2312"/>
                <w:spacing w:val="-12"/>
                <w:kern w:val="0"/>
                <w:sz w:val="24"/>
              </w:rPr>
              <w:t>，满足考评指标要求。</w:t>
            </w:r>
          </w:p>
          <w:p>
            <w:pPr>
              <w:tabs>
                <w:tab w:val="left" w:pos="360"/>
              </w:tabs>
              <w:overflowPunct w:val="0"/>
              <w:spacing w:line="32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得分：1</w:t>
            </w:r>
            <w:r>
              <w:rPr>
                <w:rFonts w:ascii="Times New Roman" w:hAnsi="Times New Roman"/>
                <w:spacing w:val="-6"/>
                <w:kern w:val="0"/>
                <w:sz w:val="24"/>
              </w:rPr>
              <w:t>.</w:t>
            </w:r>
            <w:r>
              <w:rPr>
                <w:rFonts w:ascii="Times New Roman" w:hAnsi="Times New Roman" w:eastAsia="仿宋_GB2312"/>
                <w:spacing w:val="-6"/>
                <w:kern w:val="0"/>
                <w:sz w:val="24"/>
              </w:rPr>
              <w:t>0</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②</w:t>
            </w:r>
            <w:r>
              <w:rPr>
                <w:rFonts w:ascii="Times New Roman" w:hAnsi="Times New Roman" w:eastAsia="仿宋_GB2312"/>
                <w:spacing w:val="-6"/>
                <w:kern w:val="0"/>
                <w:sz w:val="24"/>
              </w:rPr>
              <w:t>措施基本到位，部分满足考评指标要求。</w:t>
            </w:r>
          </w:p>
          <w:p>
            <w:pPr>
              <w:overflowPunct w:val="0"/>
              <w:spacing w:line="32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得分：0</w:t>
            </w:r>
            <w:r>
              <w:rPr>
                <w:rFonts w:ascii="Times New Roman" w:hAnsi="Times New Roman"/>
                <w:spacing w:val="-6"/>
                <w:kern w:val="0"/>
                <w:sz w:val="24"/>
              </w:rPr>
              <w:t>.</w:t>
            </w:r>
            <w:r>
              <w:rPr>
                <w:rFonts w:ascii="Times New Roman" w:hAnsi="Times New Roman" w:eastAsia="仿宋_GB2312"/>
                <w:spacing w:val="-6"/>
                <w:kern w:val="0"/>
                <w:sz w:val="24"/>
              </w:rPr>
              <w:t>5</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lang w:eastAsia="ja-JP"/>
              </w:rPr>
              <w:t>③</w:t>
            </w:r>
            <w:r>
              <w:rPr>
                <w:rFonts w:ascii="Times New Roman" w:hAnsi="Times New Roman" w:eastAsia="仿宋_GB2312"/>
                <w:spacing w:val="-6"/>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spacing w:val="-6"/>
                <w:kern w:val="0"/>
                <w:sz w:val="24"/>
              </w:rPr>
              <w:t>得分：0</w:t>
            </w: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应采用建筑配件整体化或建筑构件装配化安装的施工方法。</w:t>
            </w:r>
          </w:p>
        </w:tc>
        <w:tc>
          <w:tcPr>
            <w:tcW w:w="1049"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主体结构施工应选择自动提升、顶升模架或工作平台。</w:t>
            </w:r>
          </w:p>
        </w:tc>
        <w:tc>
          <w:tcPr>
            <w:tcW w:w="1049"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45"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spacing w:val="-4"/>
                <w:kern w:val="0"/>
                <w:sz w:val="24"/>
              </w:rPr>
              <w:t>建筑材料包装物回收率应达到100%。</w:t>
            </w:r>
          </w:p>
        </w:tc>
        <w:tc>
          <w:tcPr>
            <w:tcW w:w="1049"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3"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5</w:t>
            </w:r>
            <w:r>
              <w:rPr>
                <w:rFonts w:hint="eastAsia" w:ascii="Times New Roman" w:hAnsi="Times New Roman" w:eastAsia="仿宋_GB2312"/>
                <w:kern w:val="0"/>
                <w:sz w:val="24"/>
              </w:rPr>
              <w:t>　</w:t>
            </w:r>
            <w:r>
              <w:rPr>
                <w:rFonts w:ascii="Times New Roman" w:hAnsi="Times New Roman" w:eastAsia="仿宋_GB2312"/>
                <w:kern w:val="0"/>
                <w:sz w:val="24"/>
              </w:rPr>
              <w:t>现场应使用预拌砂浆。</w:t>
            </w:r>
          </w:p>
        </w:tc>
        <w:tc>
          <w:tcPr>
            <w:tcW w:w="1049"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47" w:hRule="atLeast"/>
        </w:trPr>
        <w:tc>
          <w:tcPr>
            <w:tcW w:w="276"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6</w:t>
            </w:r>
            <w:r>
              <w:rPr>
                <w:rFonts w:hint="eastAsia" w:ascii="Times New Roman" w:hAnsi="Times New Roman" w:eastAsia="仿宋_GB2312"/>
                <w:kern w:val="0"/>
                <w:sz w:val="24"/>
              </w:rPr>
              <w:t>　</w:t>
            </w:r>
            <w:r>
              <w:rPr>
                <w:rFonts w:ascii="Times New Roman" w:hAnsi="Times New Roman" w:eastAsia="仿宋_GB2312"/>
                <w:spacing w:val="-6"/>
                <w:kern w:val="0"/>
                <w:sz w:val="24"/>
              </w:rPr>
              <w:t>水平承重模板应采用早拆支撑体系。</w:t>
            </w:r>
          </w:p>
        </w:tc>
        <w:tc>
          <w:tcPr>
            <w:tcW w:w="1049"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2"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2"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vMerge w:val="continue"/>
            <w:tcBorders>
              <w:top w:val="single" w:color="000000" w:sz="2" w:space="0"/>
              <w:left w:val="single" w:color="000000" w:sz="8" w:space="0"/>
              <w:bottom w:val="single" w:color="000000" w:sz="6"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75" w:type="pct"/>
            <w:gridSpan w:val="2"/>
            <w:tcBorders>
              <w:top w:val="single" w:color="000000" w:sz="2" w:space="0"/>
              <w:left w:val="single" w:color="000000" w:sz="2" w:space="0"/>
              <w:bottom w:val="single" w:color="000000" w:sz="6" w:space="0"/>
              <w:right w:val="single" w:color="000000"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6</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7</w:t>
            </w:r>
            <w:r>
              <w:rPr>
                <w:rFonts w:hint="eastAsia" w:ascii="Times New Roman" w:hAnsi="Times New Roman" w:eastAsia="仿宋_GB2312"/>
                <w:kern w:val="0"/>
                <w:sz w:val="24"/>
              </w:rPr>
              <w:t>　</w:t>
            </w:r>
            <w:r>
              <w:rPr>
                <w:rFonts w:ascii="Times New Roman" w:hAnsi="Times New Roman" w:eastAsia="仿宋_GB2312"/>
                <w:kern w:val="0"/>
                <w:sz w:val="24"/>
              </w:rPr>
              <w:t>现场临建设施、安全防护设施应定型化、工具化、标准化。</w:t>
            </w:r>
          </w:p>
        </w:tc>
        <w:tc>
          <w:tcPr>
            <w:tcW w:w="1049" w:type="pct"/>
            <w:gridSpan w:val="2"/>
            <w:vMerge w:val="continue"/>
            <w:tcBorders>
              <w:top w:val="single" w:color="000000" w:sz="2" w:space="0"/>
              <w:left w:val="single" w:color="000000" w:sz="2" w:space="0"/>
              <w:bottom w:val="single" w:color="000000" w:sz="6"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0" w:type="pct"/>
            <w:tcBorders>
              <w:top w:val="single" w:color="000000" w:sz="2" w:space="0"/>
              <w:left w:val="single" w:color="000000" w:sz="2" w:space="0"/>
              <w:bottom w:val="single" w:color="000000" w:sz="6"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0" w:type="pct"/>
            <w:tcBorders>
              <w:top w:val="single" w:color="000000" w:sz="2" w:space="0"/>
              <w:left w:val="single" w:color="000000" w:sz="2" w:space="0"/>
              <w:bottom w:val="single" w:color="000000" w:sz="6"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8" w:hRule="atLeast"/>
        </w:trPr>
        <w:tc>
          <w:tcPr>
            <w:tcW w:w="276" w:type="pct"/>
            <w:tcBorders>
              <w:top w:val="single" w:color="000000" w:sz="6" w:space="0"/>
              <w:left w:val="single" w:color="000000" w:sz="6" w:space="0"/>
              <w:bottom w:val="single" w:color="000000" w:sz="6" w:space="0"/>
              <w:right w:val="single" w:color="000000"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评价结果</w:t>
            </w:r>
          </w:p>
        </w:tc>
        <w:tc>
          <w:tcPr>
            <w:tcW w:w="4724" w:type="pct"/>
            <w:gridSpan w:val="6"/>
            <w:tcBorders>
              <w:top w:val="single" w:color="000000" w:sz="6" w:space="0"/>
              <w:left w:val="single" w:color="000000" w:sz="2" w:space="0"/>
              <w:bottom w:val="single" w:color="000000" w:sz="6" w:space="0"/>
              <w:right w:val="single" w:color="000000" w:sz="6" w:space="0"/>
            </w:tcBorders>
            <w:shd w:val="clear" w:color="auto" w:fill="auto"/>
            <w:vAlign w:val="center"/>
          </w:tcPr>
          <w:p>
            <w:pPr>
              <w:overflowPunct w:val="0"/>
              <w:spacing w:line="320" w:lineRule="exact"/>
              <w:jc w:val="center"/>
              <w:textAlignment w:val="center"/>
              <w:rPr>
                <w:rFonts w:ascii="Times New Roman" w:hAnsi="Times New Roman" w:eastAsia="仿宋_GB2312"/>
                <w:b/>
                <w:kern w:val="0"/>
                <w:sz w:val="24"/>
              </w:rPr>
            </w:pPr>
          </w:p>
          <w:p>
            <w:pPr>
              <w:overflowPunct w:val="0"/>
              <w:spacing w:line="32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一般项得分A</w:t>
            </w:r>
            <w:r>
              <w:rPr>
                <w:rFonts w:ascii="宋体" w:hAnsi="宋体"/>
                <w:b/>
                <w:kern w:val="0"/>
                <w:sz w:val="24"/>
              </w:rPr>
              <w:t>＝</w:t>
            </w:r>
            <w:r>
              <w:rPr>
                <w:rFonts w:ascii="Times New Roman" w:hAnsi="Times New Roman" w:eastAsia="仿宋_GB2312"/>
                <w:b/>
                <w:kern w:val="0"/>
                <w:sz w:val="24"/>
              </w:rPr>
              <w:t>（B/C）</w:t>
            </w:r>
            <w:r>
              <w:rPr>
                <w:rFonts w:hint="eastAsia" w:ascii="宋体" w:hAnsi="宋体"/>
                <w:b/>
                <w:kern w:val="0"/>
                <w:sz w:val="24"/>
              </w:rPr>
              <w:t>×</w:t>
            </w:r>
            <w:r>
              <w:rPr>
                <w:rFonts w:ascii="Times New Roman" w:hAnsi="Times New Roman" w:eastAsia="仿宋_GB2312"/>
                <w:b/>
                <w:kern w:val="0"/>
                <w:sz w:val="24"/>
              </w:rPr>
              <w:t>100</w:t>
            </w:r>
            <w:r>
              <w:rPr>
                <w:rFonts w:ascii="宋体" w:hAnsi="宋体"/>
                <w:b/>
                <w:kern w:val="0"/>
                <w:sz w:val="24"/>
              </w:rPr>
              <w:t>＝</w:t>
            </w:r>
          </w:p>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式中：A</w:t>
            </w:r>
            <w:r>
              <w:rPr>
                <w:rFonts w:hint="eastAsia" w:ascii="方正书宋_GBK" w:hAnsi="Times New Roman" w:eastAsia="方正书宋_GBK"/>
                <w:kern w:val="0"/>
                <w:sz w:val="24"/>
              </w:rPr>
              <w:t>-</w:t>
            </w:r>
            <w:r>
              <w:rPr>
                <w:rFonts w:ascii="Times New Roman" w:hAnsi="Times New Roman" w:eastAsia="仿宋_GB2312"/>
                <w:kern w:val="0"/>
                <w:sz w:val="24"/>
              </w:rPr>
              <w:t>折算分</w:t>
            </w:r>
          </w:p>
          <w:p>
            <w:pPr>
              <w:overflowPunct w:val="0"/>
              <w:spacing w:line="320" w:lineRule="exact"/>
              <w:ind w:firstLine="744" w:firstLineChars="310"/>
              <w:jc w:val="left"/>
              <w:textAlignment w:val="center"/>
              <w:rPr>
                <w:rFonts w:ascii="Times New Roman" w:hAnsi="Times New Roman" w:eastAsia="仿宋_GB2312"/>
                <w:kern w:val="0"/>
                <w:sz w:val="24"/>
              </w:rPr>
            </w:pPr>
            <w:r>
              <w:rPr>
                <w:rFonts w:ascii="Times New Roman" w:hAnsi="Times New Roman" w:eastAsia="仿宋_GB2312"/>
                <w:kern w:val="0"/>
                <w:sz w:val="24"/>
              </w:rPr>
              <w:t>B</w:t>
            </w:r>
            <w:r>
              <w:rPr>
                <w:rFonts w:hint="eastAsia" w:ascii="方正书宋_GBK" w:hAnsi="Times New Roman" w:eastAsia="方正书宋_GBK"/>
                <w:kern w:val="0"/>
                <w:sz w:val="24"/>
              </w:rPr>
              <w:t>-</w:t>
            </w:r>
            <w:r>
              <w:rPr>
                <w:rFonts w:ascii="Times New Roman" w:hAnsi="Times New Roman" w:eastAsia="仿宋_GB2312"/>
                <w:kern w:val="0"/>
                <w:sz w:val="24"/>
              </w:rPr>
              <w:t>实际发生项条目实得分之和</w:t>
            </w:r>
          </w:p>
          <w:p>
            <w:pPr>
              <w:overflowPunct w:val="0"/>
              <w:spacing w:line="320" w:lineRule="exact"/>
              <w:ind w:firstLine="720" w:firstLineChars="300"/>
              <w:jc w:val="left"/>
              <w:textAlignment w:val="center"/>
              <w:rPr>
                <w:rFonts w:ascii="Times New Roman" w:hAnsi="Times New Roman" w:eastAsia="仿宋_GB2312"/>
                <w:kern w:val="0"/>
                <w:sz w:val="24"/>
              </w:rPr>
            </w:pPr>
            <w:r>
              <w:rPr>
                <w:rFonts w:ascii="Times New Roman" w:hAnsi="Times New Roman" w:eastAsia="仿宋_GB2312"/>
                <w:kern w:val="0"/>
                <w:sz w:val="24"/>
              </w:rPr>
              <w:t>C</w:t>
            </w:r>
            <w:r>
              <w:rPr>
                <w:rFonts w:hint="eastAsia" w:ascii="方正书宋_GBK" w:hAnsi="Times New Roman" w:eastAsia="方正书宋_GBK"/>
                <w:kern w:val="0"/>
                <w:sz w:val="24"/>
              </w:rPr>
              <w:t>-</w:t>
            </w:r>
            <w:r>
              <w:rPr>
                <w:rFonts w:ascii="Times New Roman" w:hAnsi="Times New Roman" w:eastAsia="仿宋_GB2312"/>
                <w:kern w:val="0"/>
                <w:sz w:val="24"/>
              </w:rPr>
              <w:t>实际发生项条目应得分之和</w:t>
            </w:r>
          </w:p>
          <w:p>
            <w:pPr>
              <w:overflowPunct w:val="0"/>
              <w:spacing w:line="32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优选项得分D</w:t>
            </w:r>
            <w:r>
              <w:rPr>
                <w:rFonts w:ascii="宋体" w:hAnsi="宋体"/>
                <w:b/>
                <w:kern w:val="0"/>
                <w:sz w:val="24"/>
              </w:rPr>
              <w:t>＝</w:t>
            </w:r>
          </w:p>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式中：D</w:t>
            </w:r>
            <w:r>
              <w:rPr>
                <w:rFonts w:hint="eastAsia" w:ascii="方正书宋_GBK" w:hAnsi="Times New Roman" w:eastAsia="方正书宋_GBK"/>
                <w:kern w:val="0"/>
                <w:sz w:val="24"/>
              </w:rPr>
              <w:t>-</w:t>
            </w:r>
            <w:r>
              <w:rPr>
                <w:rFonts w:ascii="Times New Roman" w:hAnsi="Times New Roman" w:eastAsia="仿宋_GB2312"/>
                <w:kern w:val="0"/>
                <w:sz w:val="24"/>
              </w:rPr>
              <w:t>优选项实际发生条目加分之和</w:t>
            </w:r>
          </w:p>
          <w:p>
            <w:pPr>
              <w:overflowPunct w:val="0"/>
              <w:spacing w:line="32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要素评价得分F</w:t>
            </w:r>
            <w:r>
              <w:rPr>
                <w:rFonts w:ascii="宋体" w:hAnsi="宋体"/>
                <w:b/>
                <w:kern w:val="0"/>
                <w:sz w:val="24"/>
              </w:rPr>
              <w:t>＝</w:t>
            </w:r>
          </w:p>
          <w:p>
            <w:pPr>
              <w:overflowPunct w:val="0"/>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式中：F</w:t>
            </w:r>
            <w:r>
              <w:rPr>
                <w:rFonts w:ascii="宋体" w:hAnsi="宋体"/>
                <w:kern w:val="0"/>
                <w:sz w:val="24"/>
              </w:rPr>
              <w:t>＝</w:t>
            </w:r>
            <w:r>
              <w:rPr>
                <w:rFonts w:ascii="Times New Roman" w:hAnsi="Times New Roman" w:eastAsia="仿宋_GB2312"/>
                <w:kern w:val="0"/>
                <w:sz w:val="24"/>
              </w:rPr>
              <w:t>一般项得分A</w:t>
            </w:r>
            <w:r>
              <w:rPr>
                <w:rFonts w:hint="eastAsia" w:ascii="宋体" w:hAnsi="宋体"/>
                <w:kern w:val="0"/>
                <w:sz w:val="24"/>
              </w:rPr>
              <w:t>＋</w:t>
            </w:r>
            <w:r>
              <w:rPr>
                <w:rFonts w:ascii="Times New Roman" w:hAnsi="Times New Roman" w:eastAsia="仿宋_GB2312"/>
                <w:kern w:val="0"/>
                <w:sz w:val="24"/>
              </w:rPr>
              <w:t>优选项得分D</w:t>
            </w:r>
          </w:p>
          <w:p>
            <w:pPr>
              <w:overflowPunct w:val="0"/>
              <w:spacing w:line="320" w:lineRule="exact"/>
              <w:jc w:val="center"/>
              <w:textAlignment w:val="center"/>
              <w:rPr>
                <w:rFonts w:ascii="Times New Roman" w:hAnsi="Times New Roman" w:eastAsia="仿宋_GB2312"/>
                <w:b/>
                <w:kern w:val="0"/>
                <w:sz w:val="24"/>
              </w:rPr>
            </w:pPr>
          </w:p>
        </w:tc>
      </w:tr>
    </w:tbl>
    <w:p>
      <w:pPr>
        <w:rPr>
          <w:rFonts w:ascii="华文中宋" w:hAnsi="华文中宋" w:eastAsia="华文中宋"/>
          <w:sz w:val="28"/>
          <w:szCs w:val="28"/>
        </w:rPr>
      </w:pPr>
    </w:p>
    <w:p>
      <w:pPr>
        <w:widowControl/>
        <w:jc w:val="left"/>
        <w:rPr>
          <w:rFonts w:ascii="华文中宋" w:hAnsi="华文中宋" w:eastAsia="华文中宋"/>
          <w:sz w:val="28"/>
          <w:szCs w:val="28"/>
        </w:rPr>
      </w:pPr>
      <w:r>
        <w:rPr>
          <w:rFonts w:ascii="华文中宋" w:hAnsi="华文中宋" w:eastAsia="华文中宋"/>
          <w:sz w:val="28"/>
          <w:szCs w:val="28"/>
        </w:rPr>
        <w:br w:type="page"/>
      </w:r>
    </w:p>
    <w:p>
      <w:pPr>
        <w:rPr>
          <w:rFonts w:ascii="华文中宋" w:hAnsi="华文中宋" w:eastAsia="华文中宋"/>
          <w:b/>
          <w:sz w:val="28"/>
          <w:szCs w:val="28"/>
        </w:rPr>
      </w:pPr>
      <w:r>
        <w:rPr>
          <w:rFonts w:hint="eastAsia" w:ascii="Times New Roman" w:hAnsi="Times New Roman" w:eastAsia="黑体"/>
          <w:sz w:val="32"/>
        </w:rPr>
        <w:t>附表2</w:t>
      </w:r>
      <w:r>
        <w:rPr>
          <w:rFonts w:hint="eastAsia" w:ascii="方正书宋_GBK" w:hAnsi="Times New Roman" w:eastAsia="方正书宋_GBK"/>
          <w:sz w:val="32"/>
        </w:rPr>
        <w:t>-</w:t>
      </w:r>
      <w:r>
        <w:rPr>
          <w:rFonts w:hint="eastAsia" w:ascii="Times New Roman" w:hAnsi="Times New Roman" w:eastAsia="黑体"/>
          <w:sz w:val="32"/>
        </w:rPr>
        <w:t>3</w:t>
      </w:r>
    </w:p>
    <w:p>
      <w:pPr>
        <w:spacing w:before="144" w:beforeLines="60" w:after="144" w:afterLines="6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节水与水资源利用要素评价表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14"/>
        <w:gridCol w:w="1209"/>
        <w:gridCol w:w="3439"/>
        <w:gridCol w:w="2073"/>
        <w:gridCol w:w="86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962" w:type="pct"/>
            <w:gridSpan w:val="2"/>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1920"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p>
        </w:tc>
        <w:tc>
          <w:tcPr>
            <w:tcW w:w="1158"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960"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962" w:type="pct"/>
            <w:gridSpan w:val="2"/>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1920"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p>
        </w:tc>
        <w:tc>
          <w:tcPr>
            <w:tcW w:w="1158"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专家签字</w:t>
            </w:r>
          </w:p>
        </w:tc>
        <w:tc>
          <w:tcPr>
            <w:tcW w:w="960"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962" w:type="pct"/>
            <w:gridSpan w:val="2"/>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1920"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p>
        </w:tc>
        <w:tc>
          <w:tcPr>
            <w:tcW w:w="1158"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960"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控制项</w:t>
            </w:r>
          </w:p>
        </w:tc>
        <w:tc>
          <w:tcPr>
            <w:tcW w:w="2596"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58"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评价标准</w:t>
            </w:r>
          </w:p>
        </w:tc>
        <w:tc>
          <w:tcPr>
            <w:tcW w:w="960"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签订标段分包或劳务合同时，应将节水指标纳入合同条款。</w:t>
            </w:r>
          </w:p>
        </w:tc>
        <w:tc>
          <w:tcPr>
            <w:tcW w:w="1158"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措施到位，全部满足要求</w:t>
            </w:r>
            <w:r>
              <w:rPr>
                <w:rFonts w:ascii="Times New Roman" w:hAnsi="Times New Roman" w:eastAsia="仿宋_GB2312"/>
                <w:sz w:val="24"/>
              </w:rPr>
              <w:t>，进入一般项和优选项评价流程；</w:t>
            </w:r>
            <w:r>
              <w:rPr>
                <w:rFonts w:ascii="Times New Roman" w:hAnsi="Times New Roman" w:eastAsia="仿宋_GB2312"/>
                <w:kern w:val="0"/>
                <w:sz w:val="24"/>
              </w:rPr>
              <w:t>否则，</w:t>
            </w:r>
            <w:r>
              <w:rPr>
                <w:rFonts w:ascii="Times New Roman" w:hAnsi="Times New Roman" w:eastAsia="仿宋_GB2312"/>
                <w:sz w:val="24"/>
              </w:rPr>
              <w:t>为非绿色施工要素。</w:t>
            </w:r>
          </w:p>
        </w:tc>
        <w:tc>
          <w:tcPr>
            <w:tcW w:w="960"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1" w:hRule="atLeast"/>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应有计量考核记录。</w:t>
            </w:r>
          </w:p>
        </w:tc>
        <w:tc>
          <w:tcPr>
            <w:tcW w:w="1158"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960"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596"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58"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79"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b/>
                <w:kern w:val="0"/>
                <w:sz w:val="24"/>
              </w:rPr>
            </w:pPr>
            <w:r>
              <w:rPr>
                <w:rFonts w:ascii="Times New Roman" w:hAnsi="Times New Roman" w:eastAsia="仿宋_GB2312"/>
                <w:b/>
                <w:kern w:val="0"/>
                <w:sz w:val="24"/>
              </w:rPr>
              <w:t>7</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1</w:t>
            </w:r>
            <w:r>
              <w:rPr>
                <w:rFonts w:hint="eastAsia" w:ascii="Times New Roman" w:hAnsi="Times New Roman" w:eastAsia="仿宋_GB2312"/>
                <w:b/>
                <w:kern w:val="0"/>
                <w:sz w:val="24"/>
              </w:rPr>
              <w:t>　</w:t>
            </w:r>
            <w:r>
              <w:rPr>
                <w:rFonts w:ascii="Times New Roman" w:hAnsi="Times New Roman" w:eastAsia="仿宋_GB2312"/>
                <w:b/>
                <w:spacing w:val="-6"/>
                <w:kern w:val="0"/>
                <w:sz w:val="24"/>
              </w:rPr>
              <w:t>节约用水应符合下列规定：</w:t>
            </w:r>
          </w:p>
        </w:tc>
        <w:tc>
          <w:tcPr>
            <w:tcW w:w="1158"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pacing w:val="-6"/>
                <w:sz w:val="24"/>
              </w:rPr>
            </w:pPr>
            <w:r>
              <w:rPr>
                <w:rFonts w:ascii="Times New Roman" w:hAnsi="Times New Roman" w:eastAsia="仿宋_GB2312"/>
                <w:spacing w:val="-6"/>
                <w:sz w:val="24"/>
              </w:rPr>
              <w:t>每一条目得分据现场实际，在0</w:t>
            </w:r>
            <w:r>
              <w:rPr>
                <w:rFonts w:hint="eastAsia" w:ascii="方正书宋_GBK" w:hAnsi="Times New Roman" w:eastAsia="方正书宋_GBK"/>
                <w:spacing w:val="-6"/>
                <w:sz w:val="24"/>
              </w:rPr>
              <w:t>-</w:t>
            </w:r>
            <w:r>
              <w:rPr>
                <w:rFonts w:ascii="Times New Roman" w:hAnsi="Times New Roman" w:eastAsia="仿宋_GB2312"/>
                <w:spacing w:val="-6"/>
                <w:sz w:val="24"/>
              </w:rPr>
              <w:t>2分之间选择：</w:t>
            </w:r>
          </w:p>
          <w:p>
            <w:pPr>
              <w:tabs>
                <w:tab w:val="left" w:pos="360"/>
              </w:tabs>
              <w:overflowPunct w:val="0"/>
              <w:spacing w:line="36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①</w:t>
            </w:r>
            <w:r>
              <w:rPr>
                <w:rFonts w:ascii="Times New Roman" w:hAnsi="Times New Roman" w:eastAsia="仿宋_GB2312"/>
                <w:spacing w:val="-6"/>
                <w:kern w:val="0"/>
                <w:sz w:val="24"/>
              </w:rPr>
              <w:t>措施到位，满足考评指标要求。</w:t>
            </w:r>
          </w:p>
          <w:p>
            <w:pPr>
              <w:tabs>
                <w:tab w:val="left" w:pos="360"/>
              </w:tabs>
              <w:overflowPunct w:val="0"/>
              <w:spacing w:line="36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得分：2</w:t>
            </w:r>
            <w:r>
              <w:rPr>
                <w:rFonts w:ascii="Times New Roman" w:hAnsi="Times New Roman"/>
                <w:spacing w:val="-6"/>
                <w:kern w:val="0"/>
                <w:sz w:val="24"/>
              </w:rPr>
              <w:t>.</w:t>
            </w:r>
            <w:r>
              <w:rPr>
                <w:rFonts w:ascii="Times New Roman" w:hAnsi="Times New Roman" w:eastAsia="仿宋_GB2312"/>
                <w:spacing w:val="-6"/>
                <w:kern w:val="0"/>
                <w:sz w:val="24"/>
              </w:rPr>
              <w:t>0</w:t>
            </w:r>
          </w:p>
          <w:p>
            <w:pPr>
              <w:tabs>
                <w:tab w:val="left" w:pos="360"/>
              </w:tabs>
              <w:overflowPunct w:val="0"/>
              <w:spacing w:line="36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②</w:t>
            </w:r>
            <w:r>
              <w:rPr>
                <w:rFonts w:ascii="Times New Roman" w:hAnsi="Times New Roman" w:eastAsia="仿宋_GB2312"/>
                <w:spacing w:val="-6"/>
                <w:kern w:val="0"/>
                <w:sz w:val="24"/>
              </w:rPr>
              <w:t>措施基本到位，部分满足考评指标要求。</w:t>
            </w:r>
          </w:p>
          <w:p>
            <w:pPr>
              <w:overflowPunct w:val="0"/>
              <w:spacing w:line="36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得分：1</w:t>
            </w:r>
            <w:r>
              <w:rPr>
                <w:rFonts w:ascii="Times New Roman" w:hAnsi="Times New Roman"/>
                <w:spacing w:val="-6"/>
                <w:kern w:val="0"/>
                <w:sz w:val="24"/>
              </w:rPr>
              <w:t>.</w:t>
            </w:r>
            <w:r>
              <w:rPr>
                <w:rFonts w:ascii="Times New Roman" w:hAnsi="Times New Roman" w:eastAsia="仿宋_GB2312"/>
                <w:spacing w:val="-6"/>
                <w:kern w:val="0"/>
                <w:sz w:val="24"/>
              </w:rPr>
              <w:t>0</w:t>
            </w:r>
          </w:p>
          <w:p>
            <w:pPr>
              <w:tabs>
                <w:tab w:val="left" w:pos="360"/>
              </w:tabs>
              <w:overflowPunct w:val="0"/>
              <w:spacing w:line="360" w:lineRule="exact"/>
              <w:textAlignment w:val="center"/>
              <w:rPr>
                <w:rFonts w:ascii="Times New Roman" w:hAnsi="Times New Roman" w:eastAsia="仿宋_GB2312"/>
                <w:spacing w:val="-6"/>
                <w:kern w:val="0"/>
                <w:sz w:val="24"/>
              </w:rPr>
            </w:pPr>
            <w:r>
              <w:rPr>
                <w:rFonts w:hint="eastAsia" w:ascii="宋体" w:hAnsi="宋体" w:cs="宋体"/>
                <w:spacing w:val="-6"/>
                <w:kern w:val="0"/>
                <w:sz w:val="24"/>
                <w:lang w:eastAsia="ja-JP"/>
              </w:rPr>
              <w:t>③</w:t>
            </w:r>
            <w:r>
              <w:rPr>
                <w:rFonts w:ascii="Times New Roman" w:hAnsi="Times New Roman" w:eastAsia="仿宋_GB2312"/>
                <w:spacing w:val="-6"/>
                <w:kern w:val="0"/>
                <w:sz w:val="24"/>
              </w:rPr>
              <w:t>措施不到位</w:t>
            </w:r>
            <w:r>
              <w:rPr>
                <w:rFonts w:ascii="Times New Roman" w:hAnsi="Times New Roman" w:eastAsia="仿宋_GB2312"/>
                <w:spacing w:val="-14"/>
                <w:kern w:val="0"/>
                <w:sz w:val="24"/>
              </w:rPr>
              <w:t>，不满足考评指标要求。</w:t>
            </w:r>
          </w:p>
          <w:p>
            <w:pPr>
              <w:tabs>
                <w:tab w:val="left" w:pos="360"/>
              </w:tabs>
              <w:overflowPunct w:val="0"/>
              <w:spacing w:line="360" w:lineRule="exact"/>
              <w:textAlignment w:val="center"/>
              <w:rPr>
                <w:rFonts w:ascii="Times New Roman" w:hAnsi="Times New Roman" w:eastAsia="仿宋_GB2312"/>
                <w:kern w:val="0"/>
                <w:sz w:val="24"/>
              </w:rPr>
            </w:pPr>
            <w:r>
              <w:rPr>
                <w:rFonts w:ascii="Times New Roman" w:hAnsi="Times New Roman" w:eastAsia="仿宋_GB2312"/>
                <w:spacing w:val="-6"/>
                <w:kern w:val="0"/>
                <w:sz w:val="24"/>
              </w:rPr>
              <w:t>得分：0</w:t>
            </w: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1 应根据工程特点，制定用水定额。</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2 施工现场供、排水系统应合理适用。</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3 施工现场办公区、生活区的生活用水应采用节水器具，节水器具配置率应达到100%。</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b/>
                <w:kern w:val="0"/>
                <w:sz w:val="24"/>
              </w:rPr>
            </w:pPr>
            <w:r>
              <w:rPr>
                <w:rFonts w:ascii="Times New Roman" w:hAnsi="Times New Roman" w:eastAsia="仿宋_GB2312"/>
                <w:kern w:val="0"/>
                <w:sz w:val="24"/>
              </w:rPr>
              <w:t>4 施工现场的生活用水与工程用水应分别计量。</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5 施工中应采用先进的节水施工工艺。</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6 混凝土养护和砂浆搅拌用水应合理，应有节水措施。</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 xml:space="preserve">7 </w:t>
            </w:r>
            <w:r>
              <w:rPr>
                <w:rFonts w:ascii="Times New Roman" w:hAnsi="Times New Roman" w:eastAsia="仿宋_GB2312"/>
                <w:spacing w:val="-10"/>
                <w:kern w:val="0"/>
                <w:sz w:val="24"/>
              </w:rPr>
              <w:t>管网和用水器具不应有渗漏。</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b/>
                <w:sz w:val="24"/>
              </w:rPr>
            </w:pPr>
            <w:r>
              <w:rPr>
                <w:rFonts w:ascii="Times New Roman" w:hAnsi="Times New Roman" w:eastAsia="仿宋_GB2312"/>
                <w:b/>
                <w:kern w:val="0"/>
                <w:sz w:val="24"/>
              </w:rPr>
              <w:t>7</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2</w:t>
            </w:r>
            <w:r>
              <w:rPr>
                <w:rFonts w:hint="eastAsia" w:ascii="Times New Roman" w:hAnsi="Times New Roman" w:eastAsia="仿宋_GB2312"/>
                <w:b/>
                <w:kern w:val="0"/>
                <w:sz w:val="24"/>
              </w:rPr>
              <w:t>　</w:t>
            </w:r>
            <w:r>
              <w:rPr>
                <w:rFonts w:ascii="Times New Roman" w:hAnsi="Times New Roman" w:eastAsia="仿宋_GB2312"/>
                <w:b/>
                <w:kern w:val="0"/>
                <w:sz w:val="24"/>
              </w:rPr>
              <w:t>水资源的利用应符合下列规定：</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1 基坑降水应储存使用。</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6" w:hRule="atLeast"/>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2 冲洗现场机具、设备、车辆用水，应设立循环用水装置。</w:t>
            </w:r>
          </w:p>
        </w:tc>
        <w:tc>
          <w:tcPr>
            <w:tcW w:w="1158"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79"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优选项</w:t>
            </w:r>
          </w:p>
        </w:tc>
        <w:tc>
          <w:tcPr>
            <w:tcW w:w="2596"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58"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79"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施工现场应建立基坑降水再利用的收集处理系统。</w:t>
            </w:r>
          </w:p>
        </w:tc>
        <w:tc>
          <w:tcPr>
            <w:tcW w:w="1158"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1分之间选择：</w:t>
            </w:r>
          </w:p>
          <w:p>
            <w:pPr>
              <w:tabs>
                <w:tab w:val="left" w:pos="360"/>
              </w:tabs>
              <w:overflowPunct w:val="0"/>
              <w:spacing w:line="360" w:lineRule="exact"/>
              <w:textAlignment w:val="center"/>
              <w:rPr>
                <w:rFonts w:ascii="Times New Roman" w:hAnsi="Times New Roman" w:eastAsia="仿宋_GB2312"/>
                <w:kern w:val="0"/>
                <w:sz w:val="24"/>
              </w:rPr>
            </w:pPr>
            <w:r>
              <w:rPr>
                <w:rFonts w:hint="eastAsia" w:ascii="宋体" w:hAnsi="宋体" w:cs="宋体"/>
                <w:spacing w:val="-6"/>
                <w:kern w:val="0"/>
                <w:sz w:val="24"/>
              </w:rPr>
              <w:t>①</w:t>
            </w:r>
            <w:r>
              <w:rPr>
                <w:rFonts w:ascii="Times New Roman" w:hAnsi="Times New Roman" w:eastAsia="仿宋_GB2312"/>
                <w:kern w:val="0"/>
                <w:sz w:val="24"/>
              </w:rPr>
              <w:t>措施到位，满足考评指标要求。 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60" w:lineRule="exact"/>
              <w:textAlignment w:val="center"/>
              <w:rPr>
                <w:rFonts w:ascii="Times New Roman" w:hAnsi="Times New Roman" w:eastAsia="仿宋_GB2312"/>
                <w:kern w:val="0"/>
                <w:sz w:val="24"/>
              </w:rPr>
            </w:pPr>
            <w:r>
              <w:rPr>
                <w:rFonts w:hint="eastAsia" w:ascii="宋体" w:hAnsi="宋体" w:cs="宋体"/>
                <w:spacing w:val="-6"/>
                <w:kern w:val="0"/>
                <w:sz w:val="24"/>
              </w:rPr>
              <w:t>②</w:t>
            </w:r>
            <w:r>
              <w:rPr>
                <w:rFonts w:ascii="Times New Roman" w:hAnsi="Times New Roman" w:eastAsia="仿宋_GB2312"/>
                <w:kern w:val="0"/>
                <w:sz w:val="24"/>
              </w:rPr>
              <w:t>措施基本到位，部分满足考评指标要求。</w:t>
            </w:r>
          </w:p>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r>
              <w:rPr>
                <w:rFonts w:ascii="Times New Roman" w:hAnsi="Times New Roman"/>
                <w:kern w:val="0"/>
                <w:sz w:val="24"/>
              </w:rPr>
              <w:t>.</w:t>
            </w:r>
            <w:r>
              <w:rPr>
                <w:rFonts w:ascii="Times New Roman" w:hAnsi="Times New Roman" w:eastAsia="仿宋_GB2312"/>
                <w:kern w:val="0"/>
                <w:sz w:val="24"/>
              </w:rPr>
              <w:t>5</w:t>
            </w:r>
          </w:p>
          <w:p>
            <w:pPr>
              <w:tabs>
                <w:tab w:val="left" w:pos="360"/>
              </w:tabs>
              <w:overflowPunct w:val="0"/>
              <w:spacing w:line="360" w:lineRule="exact"/>
              <w:textAlignment w:val="center"/>
              <w:rPr>
                <w:rFonts w:ascii="Times New Roman" w:hAnsi="Times New Roman" w:eastAsia="仿宋_GB2312"/>
                <w:kern w:val="0"/>
                <w:sz w:val="24"/>
              </w:rPr>
            </w:pPr>
            <w:r>
              <w:rPr>
                <w:rFonts w:hint="eastAsia" w:ascii="宋体" w:hAnsi="宋体" w:cs="宋体"/>
                <w:spacing w:val="-6"/>
                <w:kern w:val="0"/>
                <w:sz w:val="24"/>
                <w:lang w:eastAsia="ja-JP"/>
              </w:rPr>
              <w:t>③</w:t>
            </w:r>
            <w:r>
              <w:rPr>
                <w:rFonts w:ascii="Times New Roman" w:hAnsi="Times New Roman" w:eastAsia="仿宋_GB2312"/>
                <w:kern w:val="0"/>
                <w:sz w:val="24"/>
              </w:rPr>
              <w:t>措施不到位</w:t>
            </w:r>
            <w:r>
              <w:rPr>
                <w:rFonts w:ascii="Times New Roman" w:hAnsi="Times New Roman" w:eastAsia="仿宋_GB2312"/>
                <w:spacing w:val="-12"/>
                <w:kern w:val="0"/>
                <w:sz w:val="24"/>
              </w:rPr>
              <w:t>，不满足考评指标要求。</w:t>
            </w:r>
          </w:p>
          <w:p>
            <w:pPr>
              <w:tabs>
                <w:tab w:val="left" w:pos="360"/>
              </w:tabs>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spacing w:val="-2"/>
                <w:kern w:val="0"/>
                <w:sz w:val="24"/>
              </w:rPr>
              <w:t>施工现场应有雨水收集利用的设施。</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spacing w:val="-8"/>
                <w:kern w:val="0"/>
                <w:sz w:val="24"/>
              </w:rPr>
              <w:t>喷洒路面、绿化浇灌不应使用自来水。</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kern w:val="0"/>
                <w:sz w:val="24"/>
              </w:rPr>
              <w:t>生活、生产污水应处理并使用。</w:t>
            </w:r>
          </w:p>
        </w:tc>
        <w:tc>
          <w:tcPr>
            <w:tcW w:w="115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p>
        </w:tc>
        <w:tc>
          <w:tcPr>
            <w:tcW w:w="2596"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textAlignment w:val="center"/>
              <w:rPr>
                <w:rFonts w:ascii="Times New Roman" w:hAnsi="Times New Roman" w:eastAsia="仿宋_GB2312"/>
                <w:kern w:val="0"/>
                <w:sz w:val="24"/>
              </w:rPr>
            </w:pPr>
            <w:r>
              <w:rPr>
                <w:rFonts w:ascii="Times New Roman" w:hAnsi="Times New Roman" w:eastAsia="仿宋_GB2312"/>
                <w:kern w:val="0"/>
                <w:sz w:val="24"/>
              </w:rPr>
              <w:t>7</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5</w:t>
            </w:r>
            <w:r>
              <w:rPr>
                <w:rFonts w:hint="eastAsia" w:ascii="Times New Roman" w:hAnsi="Times New Roman" w:eastAsia="仿宋_GB2312"/>
                <w:kern w:val="0"/>
                <w:sz w:val="24"/>
              </w:rPr>
              <w:t>　</w:t>
            </w:r>
            <w:r>
              <w:rPr>
                <w:rFonts w:ascii="Times New Roman" w:hAnsi="Times New Roman" w:eastAsia="仿宋_GB2312"/>
                <w:spacing w:val="-8"/>
                <w:kern w:val="0"/>
                <w:sz w:val="24"/>
              </w:rPr>
              <w:t>现场应使用经检验合格的非传统水源。</w:t>
            </w:r>
          </w:p>
        </w:tc>
        <w:tc>
          <w:tcPr>
            <w:tcW w:w="1158"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79"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87" w:type="pct"/>
            <w:tcBorders>
              <w:top w:val="single" w:color="auto" w:sz="8" w:space="0"/>
              <w:left w:val="single" w:color="auto" w:sz="8" w:space="0"/>
              <w:bottom w:val="single" w:color="auto" w:sz="8" w:space="0"/>
              <w:right w:val="single" w:color="auto" w:sz="2" w:space="0"/>
            </w:tcBorders>
            <w:shd w:val="clear" w:color="auto" w:fill="auto"/>
            <w:vAlign w:val="center"/>
          </w:tcPr>
          <w:p>
            <w:pPr>
              <w:overflowPunct w:val="0"/>
              <w:spacing w:line="360" w:lineRule="exact"/>
              <w:jc w:val="center"/>
              <w:textAlignment w:val="center"/>
              <w:rPr>
                <w:rFonts w:ascii="Times New Roman" w:hAnsi="Times New Roman" w:eastAsia="仿宋_GB2312"/>
                <w:b/>
                <w:sz w:val="24"/>
              </w:rPr>
            </w:pPr>
            <w:r>
              <w:rPr>
                <w:rFonts w:ascii="Times New Roman" w:hAnsi="Times New Roman" w:eastAsia="仿宋_GB2312"/>
                <w:b/>
                <w:sz w:val="24"/>
              </w:rPr>
              <w:t>评价结果</w:t>
            </w:r>
          </w:p>
        </w:tc>
        <w:tc>
          <w:tcPr>
            <w:tcW w:w="4713" w:type="pct"/>
            <w:gridSpan w:val="5"/>
            <w:tcBorders>
              <w:top w:val="single" w:color="auto" w:sz="8" w:space="0"/>
              <w:left w:val="single" w:color="auto" w:sz="2" w:space="0"/>
              <w:bottom w:val="single" w:color="auto" w:sz="8" w:space="0"/>
              <w:right w:val="single" w:color="auto" w:sz="8" w:space="0"/>
            </w:tcBorders>
            <w:shd w:val="clear" w:color="auto" w:fill="auto"/>
            <w:vAlign w:val="center"/>
          </w:tcPr>
          <w:p>
            <w:pPr>
              <w:overflowPunct w:val="0"/>
              <w:spacing w:line="360" w:lineRule="exact"/>
              <w:jc w:val="center"/>
              <w:textAlignment w:val="center"/>
              <w:rPr>
                <w:rFonts w:ascii="Times New Roman" w:hAnsi="Times New Roman" w:eastAsia="仿宋_GB2312"/>
                <w:b/>
                <w:kern w:val="0"/>
                <w:sz w:val="24"/>
              </w:rPr>
            </w:pPr>
          </w:p>
          <w:p>
            <w:pPr>
              <w:overflowPunct w:val="0"/>
              <w:spacing w:line="36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一般项得分A</w:t>
            </w:r>
            <w:r>
              <w:rPr>
                <w:rFonts w:ascii="宋体" w:hAnsi="宋体"/>
                <w:b/>
                <w:kern w:val="0"/>
                <w:sz w:val="24"/>
              </w:rPr>
              <w:t>＝</w:t>
            </w:r>
            <w:r>
              <w:rPr>
                <w:rFonts w:ascii="Times New Roman" w:hAnsi="Times New Roman" w:eastAsia="仿宋_GB2312"/>
                <w:b/>
                <w:kern w:val="0"/>
                <w:sz w:val="24"/>
              </w:rPr>
              <w:t>（B/C）</w:t>
            </w:r>
            <w:r>
              <w:rPr>
                <w:rFonts w:hint="eastAsia" w:ascii="宋体" w:hAnsi="宋体"/>
                <w:b/>
                <w:kern w:val="0"/>
                <w:sz w:val="24"/>
              </w:rPr>
              <w:t>×</w:t>
            </w:r>
            <w:r>
              <w:rPr>
                <w:rFonts w:ascii="Times New Roman" w:hAnsi="Times New Roman" w:eastAsia="仿宋_GB2312"/>
                <w:b/>
                <w:kern w:val="0"/>
                <w:sz w:val="24"/>
              </w:rPr>
              <w:t>100</w:t>
            </w:r>
            <w:r>
              <w:rPr>
                <w:rFonts w:ascii="宋体" w:hAnsi="宋体"/>
                <w:b/>
                <w:kern w:val="0"/>
                <w:sz w:val="24"/>
              </w:rPr>
              <w:t>＝</w:t>
            </w:r>
          </w:p>
          <w:p>
            <w:pPr>
              <w:overflowPunct w:val="0"/>
              <w:spacing w:line="36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式中：A</w:t>
            </w:r>
            <w:r>
              <w:rPr>
                <w:rFonts w:hint="eastAsia" w:ascii="方正书宋_GBK" w:hAnsi="Times New Roman" w:eastAsia="方正书宋_GBK"/>
                <w:kern w:val="0"/>
                <w:sz w:val="24"/>
              </w:rPr>
              <w:t>-</w:t>
            </w:r>
            <w:r>
              <w:rPr>
                <w:rFonts w:ascii="Times New Roman" w:hAnsi="Times New Roman" w:eastAsia="仿宋_GB2312"/>
                <w:kern w:val="0"/>
                <w:sz w:val="24"/>
              </w:rPr>
              <w:t>折算分</w:t>
            </w:r>
          </w:p>
          <w:p>
            <w:pPr>
              <w:overflowPunct w:val="0"/>
              <w:spacing w:line="360" w:lineRule="exact"/>
              <w:ind w:firstLine="744" w:firstLineChars="310"/>
              <w:jc w:val="left"/>
              <w:textAlignment w:val="center"/>
              <w:rPr>
                <w:rFonts w:ascii="Times New Roman" w:hAnsi="Times New Roman" w:eastAsia="仿宋_GB2312"/>
                <w:kern w:val="0"/>
                <w:sz w:val="24"/>
              </w:rPr>
            </w:pPr>
            <w:r>
              <w:rPr>
                <w:rFonts w:ascii="Times New Roman" w:hAnsi="Times New Roman" w:eastAsia="仿宋_GB2312"/>
                <w:kern w:val="0"/>
                <w:sz w:val="24"/>
              </w:rPr>
              <w:t>B</w:t>
            </w:r>
            <w:r>
              <w:rPr>
                <w:rFonts w:hint="eastAsia" w:ascii="方正书宋_GBK" w:hAnsi="Times New Roman" w:eastAsia="方正书宋_GBK"/>
                <w:kern w:val="0"/>
                <w:sz w:val="24"/>
              </w:rPr>
              <w:t>-</w:t>
            </w:r>
            <w:r>
              <w:rPr>
                <w:rFonts w:ascii="Times New Roman" w:hAnsi="Times New Roman" w:eastAsia="仿宋_GB2312"/>
                <w:kern w:val="0"/>
                <w:sz w:val="24"/>
              </w:rPr>
              <w:t>实际发生项条目实得分之和</w:t>
            </w:r>
          </w:p>
          <w:p>
            <w:pPr>
              <w:overflowPunct w:val="0"/>
              <w:spacing w:line="360" w:lineRule="exact"/>
              <w:ind w:firstLine="720" w:firstLineChars="300"/>
              <w:jc w:val="left"/>
              <w:textAlignment w:val="center"/>
              <w:rPr>
                <w:rFonts w:ascii="Times New Roman" w:hAnsi="Times New Roman" w:eastAsia="仿宋_GB2312"/>
                <w:kern w:val="0"/>
                <w:sz w:val="24"/>
              </w:rPr>
            </w:pPr>
            <w:r>
              <w:rPr>
                <w:rFonts w:ascii="Times New Roman" w:hAnsi="Times New Roman" w:eastAsia="仿宋_GB2312"/>
                <w:kern w:val="0"/>
                <w:sz w:val="24"/>
              </w:rPr>
              <w:t>C</w:t>
            </w:r>
            <w:r>
              <w:rPr>
                <w:rFonts w:hint="eastAsia" w:ascii="方正书宋_GBK" w:hAnsi="Times New Roman" w:eastAsia="方正书宋_GBK"/>
                <w:kern w:val="0"/>
                <w:sz w:val="24"/>
              </w:rPr>
              <w:t>-</w:t>
            </w:r>
            <w:r>
              <w:rPr>
                <w:rFonts w:ascii="Times New Roman" w:hAnsi="Times New Roman" w:eastAsia="仿宋_GB2312"/>
                <w:kern w:val="0"/>
                <w:sz w:val="24"/>
              </w:rPr>
              <w:t>实际发生项条目应得分之和</w:t>
            </w:r>
          </w:p>
          <w:p>
            <w:pPr>
              <w:overflowPunct w:val="0"/>
              <w:spacing w:line="36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优选项得分D</w:t>
            </w:r>
            <w:r>
              <w:rPr>
                <w:rFonts w:ascii="宋体" w:hAnsi="宋体"/>
                <w:b/>
                <w:kern w:val="0"/>
                <w:sz w:val="24"/>
              </w:rPr>
              <w:t>＝</w:t>
            </w:r>
          </w:p>
          <w:p>
            <w:pPr>
              <w:overflowPunct w:val="0"/>
              <w:spacing w:line="36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式中：D</w:t>
            </w:r>
            <w:r>
              <w:rPr>
                <w:rFonts w:hint="eastAsia" w:ascii="方正书宋_GBK" w:hAnsi="Times New Roman" w:eastAsia="方正书宋_GBK"/>
                <w:kern w:val="0"/>
                <w:sz w:val="24"/>
              </w:rPr>
              <w:t>-</w:t>
            </w:r>
            <w:r>
              <w:rPr>
                <w:rFonts w:ascii="Times New Roman" w:hAnsi="Times New Roman" w:eastAsia="仿宋_GB2312"/>
                <w:kern w:val="0"/>
                <w:sz w:val="24"/>
              </w:rPr>
              <w:t>优选项实际发生条目加分之和</w:t>
            </w:r>
          </w:p>
          <w:p>
            <w:pPr>
              <w:overflowPunct w:val="0"/>
              <w:spacing w:line="360" w:lineRule="exact"/>
              <w:jc w:val="left"/>
              <w:textAlignment w:val="center"/>
              <w:rPr>
                <w:rFonts w:ascii="Times New Roman" w:hAnsi="Times New Roman" w:eastAsia="仿宋_GB2312"/>
                <w:b/>
                <w:kern w:val="0"/>
                <w:sz w:val="24"/>
              </w:rPr>
            </w:pPr>
            <w:r>
              <w:rPr>
                <w:rFonts w:ascii="Times New Roman" w:hAnsi="Times New Roman" w:eastAsia="仿宋_GB2312"/>
                <w:b/>
                <w:kern w:val="0"/>
                <w:sz w:val="24"/>
              </w:rPr>
              <w:t>要素评价得分F</w:t>
            </w:r>
            <w:r>
              <w:rPr>
                <w:rFonts w:ascii="宋体" w:hAnsi="宋体"/>
                <w:b/>
                <w:kern w:val="0"/>
                <w:sz w:val="24"/>
              </w:rPr>
              <w:t>＝</w:t>
            </w:r>
          </w:p>
          <w:p>
            <w:pPr>
              <w:overflowPunct w:val="0"/>
              <w:spacing w:line="36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式中：F</w:t>
            </w:r>
            <w:r>
              <w:rPr>
                <w:rFonts w:ascii="宋体" w:hAnsi="宋体"/>
                <w:kern w:val="0"/>
                <w:sz w:val="24"/>
              </w:rPr>
              <w:t>＝</w:t>
            </w:r>
            <w:r>
              <w:rPr>
                <w:rFonts w:ascii="Times New Roman" w:hAnsi="Times New Roman" w:eastAsia="仿宋_GB2312"/>
                <w:kern w:val="0"/>
                <w:sz w:val="24"/>
              </w:rPr>
              <w:t>一般项得分A</w:t>
            </w:r>
            <w:r>
              <w:rPr>
                <w:rFonts w:hint="eastAsia" w:ascii="宋体" w:hAnsi="宋体"/>
                <w:kern w:val="0"/>
                <w:sz w:val="24"/>
              </w:rPr>
              <w:t>＋</w:t>
            </w:r>
            <w:r>
              <w:rPr>
                <w:rFonts w:ascii="Times New Roman" w:hAnsi="Times New Roman" w:eastAsia="仿宋_GB2312"/>
                <w:kern w:val="0"/>
                <w:sz w:val="24"/>
              </w:rPr>
              <w:t>优选项得分D</w:t>
            </w:r>
          </w:p>
          <w:p>
            <w:pPr>
              <w:overflowPunct w:val="0"/>
              <w:spacing w:line="360" w:lineRule="exact"/>
              <w:jc w:val="center"/>
              <w:textAlignment w:val="center"/>
              <w:rPr>
                <w:rFonts w:ascii="Times New Roman" w:hAnsi="Times New Roman" w:eastAsia="仿宋_GB2312"/>
                <w:sz w:val="24"/>
              </w:rPr>
            </w:pPr>
          </w:p>
        </w:tc>
      </w:tr>
    </w:tbl>
    <w:p>
      <w:pPr>
        <w:widowControl/>
        <w:jc w:val="left"/>
        <w:rPr>
          <w:rFonts w:ascii="华文中宋" w:hAnsi="华文中宋" w:eastAsia="华文中宋"/>
          <w:sz w:val="28"/>
          <w:szCs w:val="28"/>
        </w:rPr>
      </w:pPr>
      <w:r>
        <w:rPr>
          <w:rFonts w:ascii="华文中宋" w:hAnsi="华文中宋" w:eastAsia="华文中宋"/>
          <w:sz w:val="28"/>
          <w:szCs w:val="28"/>
        </w:rPr>
        <w:br w:type="page"/>
      </w:r>
    </w:p>
    <w:p>
      <w:pPr>
        <w:rPr>
          <w:rFonts w:ascii="Times New Roman" w:hAnsi="Times New Roman" w:eastAsia="黑体"/>
          <w:sz w:val="32"/>
        </w:rPr>
      </w:pPr>
      <w:r>
        <w:rPr>
          <w:rFonts w:hint="eastAsia" w:ascii="Times New Roman" w:hAnsi="Times New Roman" w:eastAsia="黑体"/>
          <w:sz w:val="32"/>
        </w:rPr>
        <w:t>附表2</w:t>
      </w:r>
      <w:r>
        <w:rPr>
          <w:rFonts w:hint="eastAsia" w:ascii="方正书宋_GBK" w:hAnsi="Times New Roman" w:eastAsia="方正书宋_GBK"/>
          <w:sz w:val="32"/>
        </w:rPr>
        <w:t>-</w:t>
      </w:r>
      <w:r>
        <w:rPr>
          <w:rFonts w:hint="eastAsia" w:ascii="Times New Roman" w:hAnsi="Times New Roman" w:eastAsia="黑体"/>
          <w:sz w:val="32"/>
        </w:rPr>
        <w:t>4</w:t>
      </w:r>
    </w:p>
    <w:p>
      <w:pPr>
        <w:spacing w:before="144" w:beforeLines="60" w:after="144" w:afterLines="6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节能和能源利用要素评价表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13"/>
        <w:gridCol w:w="1209"/>
        <w:gridCol w:w="2926"/>
        <w:gridCol w:w="890"/>
        <w:gridCol w:w="1694"/>
        <w:gridCol w:w="861"/>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2" w:type="pct"/>
            <w:gridSpan w:val="2"/>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2131"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946"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961"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2" w:type="pct"/>
            <w:gridSpan w:val="2"/>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2131"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946"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专家签字</w:t>
            </w:r>
          </w:p>
        </w:tc>
        <w:tc>
          <w:tcPr>
            <w:tcW w:w="96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2" w:type="pct"/>
            <w:gridSpan w:val="2"/>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2131"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946"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961"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控制项</w:t>
            </w:r>
          </w:p>
        </w:tc>
        <w:tc>
          <w:tcPr>
            <w:tcW w:w="2806" w:type="pct"/>
            <w:gridSpan w:val="3"/>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946"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评价标准</w:t>
            </w:r>
          </w:p>
        </w:tc>
        <w:tc>
          <w:tcPr>
            <w:tcW w:w="961"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对施工现场的生产、生活、办公和主要耗能施工设备应设有节能的控制措施。</w:t>
            </w:r>
          </w:p>
        </w:tc>
        <w:tc>
          <w:tcPr>
            <w:tcW w:w="946"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00" w:lineRule="exact"/>
              <w:textAlignment w:val="center"/>
              <w:rPr>
                <w:rFonts w:ascii="Times New Roman" w:hAnsi="Times New Roman" w:eastAsia="仿宋_GB2312"/>
                <w:spacing w:val="-8"/>
                <w:sz w:val="24"/>
              </w:rPr>
            </w:pPr>
            <w:r>
              <w:rPr>
                <w:rFonts w:ascii="Times New Roman" w:hAnsi="Times New Roman" w:eastAsia="仿宋_GB2312"/>
                <w:spacing w:val="-8"/>
                <w:kern w:val="0"/>
                <w:sz w:val="24"/>
              </w:rPr>
              <w:t>措施到位，全部满足要求，</w:t>
            </w:r>
            <w:r>
              <w:rPr>
                <w:rFonts w:ascii="Times New Roman" w:hAnsi="Times New Roman" w:eastAsia="仿宋_GB2312"/>
                <w:spacing w:val="-8"/>
                <w:sz w:val="24"/>
              </w:rPr>
              <w:t>进入一般项和优选项评价流程；</w:t>
            </w:r>
            <w:r>
              <w:rPr>
                <w:rFonts w:ascii="Times New Roman" w:hAnsi="Times New Roman" w:eastAsia="仿宋_GB2312"/>
                <w:spacing w:val="-8"/>
                <w:kern w:val="0"/>
                <w:sz w:val="24"/>
              </w:rPr>
              <w:t>否则，</w:t>
            </w:r>
            <w:r>
              <w:rPr>
                <w:rFonts w:ascii="Times New Roman" w:hAnsi="Times New Roman" w:eastAsia="仿宋_GB2312"/>
                <w:spacing w:val="-8"/>
                <w:sz w:val="24"/>
              </w:rPr>
              <w:t>为非绿色施工要素。</w:t>
            </w:r>
          </w:p>
        </w:tc>
        <w:tc>
          <w:tcPr>
            <w:tcW w:w="96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对主要耗能施工设备应定期进行耗能计量核算。</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kern w:val="0"/>
                <w:sz w:val="24"/>
              </w:rPr>
            </w:pPr>
          </w:p>
        </w:tc>
        <w:tc>
          <w:tcPr>
            <w:tcW w:w="961"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国家、行业、地方政府明令淘汰的施工设备、机具和产品不应使用。</w:t>
            </w:r>
          </w:p>
        </w:tc>
        <w:tc>
          <w:tcPr>
            <w:tcW w:w="946"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961"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806" w:type="pct"/>
            <w:gridSpan w:val="3"/>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946"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80"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8</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1</w:t>
            </w:r>
            <w:r>
              <w:rPr>
                <w:rFonts w:hint="eastAsia" w:ascii="Times New Roman" w:hAnsi="Times New Roman" w:eastAsia="仿宋_GB2312"/>
                <w:b/>
                <w:kern w:val="0"/>
                <w:sz w:val="24"/>
              </w:rPr>
              <w:t>　</w:t>
            </w:r>
            <w:r>
              <w:rPr>
                <w:rFonts w:ascii="Times New Roman" w:hAnsi="Times New Roman" w:eastAsia="仿宋_GB2312"/>
                <w:b/>
                <w:kern w:val="0"/>
                <w:sz w:val="24"/>
              </w:rPr>
              <w:t>临时用电设施应符合下列规定：</w:t>
            </w:r>
          </w:p>
        </w:tc>
        <w:tc>
          <w:tcPr>
            <w:tcW w:w="946"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2分之间选择：</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①</w:t>
            </w:r>
            <w:r>
              <w:rPr>
                <w:rFonts w:ascii="Times New Roman" w:hAnsi="Times New Roman" w:eastAsia="仿宋_GB2312"/>
                <w:kern w:val="0"/>
                <w:sz w:val="24"/>
              </w:rPr>
              <w:t>措施到位，满足考评指标要求。</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得分：2</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②</w:t>
            </w:r>
            <w:r>
              <w:rPr>
                <w:rFonts w:ascii="Times New Roman" w:hAnsi="Times New Roman" w:eastAsia="仿宋_GB2312"/>
                <w:kern w:val="0"/>
                <w:sz w:val="24"/>
              </w:rPr>
              <w:t>措施基本到位</w:t>
            </w:r>
            <w:r>
              <w:rPr>
                <w:rFonts w:ascii="Times New Roman" w:hAnsi="Times New Roman" w:eastAsia="仿宋_GB2312"/>
                <w:spacing w:val="-10"/>
                <w:kern w:val="0"/>
                <w:sz w:val="24"/>
              </w:rPr>
              <w:t>，部分满足考评指标要求。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lang w:eastAsia="ja-JP"/>
              </w:rPr>
              <w:t>③</w:t>
            </w:r>
            <w:r>
              <w:rPr>
                <w:rFonts w:ascii="Times New Roman" w:hAnsi="Times New Roman" w:eastAsia="仿宋_GB2312"/>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1 应采用节能型设施。</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2 临时用电应设置合理，管理制度应齐全并应落实到位。</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3 现场照明设计应符合现行标准《施工现场临时用电安全技术规范》JGJ46 的规定。</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8</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2</w:t>
            </w:r>
            <w:r>
              <w:rPr>
                <w:rFonts w:hint="eastAsia" w:ascii="Times New Roman" w:hAnsi="Times New Roman" w:eastAsia="仿宋_GB2312"/>
                <w:b/>
                <w:kern w:val="0"/>
                <w:sz w:val="24"/>
              </w:rPr>
              <w:t>　</w:t>
            </w:r>
            <w:r>
              <w:rPr>
                <w:rFonts w:ascii="Times New Roman" w:hAnsi="Times New Roman" w:eastAsia="仿宋_GB2312"/>
                <w:b/>
                <w:kern w:val="0"/>
                <w:sz w:val="24"/>
              </w:rPr>
              <w:t>机械设备应符合下列规定：</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1 应采用能源利用效率高的施工机械设备。</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2 施工机具资源应共享。</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3 应定期监控重点耗能设备的能源利用情况，并有记录。</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4 应建立设备技术档案，并应定期进行设备维护、保养。</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r>
              <w:rPr>
                <w:rFonts w:ascii="Times New Roman" w:hAnsi="Times New Roman" w:eastAsia="仿宋_GB2312"/>
                <w:b/>
                <w:kern w:val="0"/>
                <w:sz w:val="24"/>
              </w:rPr>
              <w:t>8</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3</w:t>
            </w:r>
            <w:r>
              <w:rPr>
                <w:rFonts w:hint="eastAsia" w:ascii="Times New Roman" w:hAnsi="Times New Roman" w:eastAsia="仿宋_GB2312"/>
                <w:b/>
                <w:kern w:val="0"/>
                <w:sz w:val="24"/>
              </w:rPr>
              <w:t>　</w:t>
            </w:r>
            <w:r>
              <w:rPr>
                <w:rFonts w:ascii="Times New Roman" w:hAnsi="Times New Roman" w:eastAsia="仿宋_GB2312"/>
                <w:b/>
                <w:kern w:val="0"/>
                <w:sz w:val="24"/>
              </w:rPr>
              <w:t>临时设施应符合下列规定：</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 xml:space="preserve">1 </w:t>
            </w:r>
            <w:r>
              <w:rPr>
                <w:rFonts w:ascii="Times New Roman" w:hAnsi="Times New Roman" w:eastAsia="仿宋_GB2312"/>
                <w:spacing w:val="-6"/>
                <w:kern w:val="0"/>
                <w:sz w:val="24"/>
              </w:rPr>
              <w:t>施工临时设施应结合日照和风向等自然条件，合理采用自然采光、通风和外窗遮阳设施。</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10" w:lineRule="exact"/>
              <w:textAlignment w:val="center"/>
              <w:rPr>
                <w:rFonts w:ascii="Times New Roman" w:hAnsi="Times New Roman" w:eastAsia="仿宋_GB2312"/>
                <w:sz w:val="24"/>
              </w:rPr>
            </w:pPr>
            <w:r>
              <w:rPr>
                <w:rFonts w:ascii="Times New Roman" w:hAnsi="Times New Roman" w:eastAsia="仿宋_GB2312"/>
                <w:kern w:val="0"/>
                <w:sz w:val="24"/>
              </w:rPr>
              <w:t>2 临时施工用房应使用热工性能达标的复合墙体和屋面板，顶棚宜采用吊顶。</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8</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4</w:t>
            </w:r>
            <w:r>
              <w:rPr>
                <w:rFonts w:hint="eastAsia" w:ascii="Times New Roman" w:hAnsi="Times New Roman" w:eastAsia="仿宋_GB2312"/>
                <w:b/>
                <w:kern w:val="0"/>
                <w:sz w:val="24"/>
              </w:rPr>
              <w:t>　</w:t>
            </w:r>
            <w:r>
              <w:rPr>
                <w:rFonts w:ascii="Times New Roman" w:hAnsi="Times New Roman" w:eastAsia="仿宋_GB2312"/>
                <w:b/>
                <w:kern w:val="0"/>
                <w:sz w:val="24"/>
              </w:rPr>
              <w:t>材料运输与施工应符合下列规定：</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1 建筑材料的选用应缩短运输距离，减少能源消耗。</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2 应采用能耗少的施工工艺。</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3 应合理安排施工工序和施工进度。</w:t>
            </w:r>
          </w:p>
        </w:tc>
        <w:tc>
          <w:tcPr>
            <w:tcW w:w="946"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806" w:type="pct"/>
            <w:gridSpan w:val="3"/>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4 应尽量减少夜间作业和冬期施工的时间。</w:t>
            </w:r>
          </w:p>
        </w:tc>
        <w:tc>
          <w:tcPr>
            <w:tcW w:w="946"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480"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优选项</w:t>
            </w:r>
          </w:p>
        </w:tc>
        <w:tc>
          <w:tcPr>
            <w:tcW w:w="2309"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443"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81"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480"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p>
        </w:tc>
        <w:tc>
          <w:tcPr>
            <w:tcW w:w="2309"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spacing w:val="-6"/>
                <w:kern w:val="0"/>
                <w:sz w:val="24"/>
              </w:rPr>
              <w:t>根据当地气候和自然资源条件，应合理利用太阳能或其他可再生能源。</w:t>
            </w:r>
          </w:p>
        </w:tc>
        <w:tc>
          <w:tcPr>
            <w:tcW w:w="1443" w:type="pct"/>
            <w:gridSpan w:val="2"/>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10"/>
                <w:sz w:val="24"/>
              </w:rPr>
            </w:pPr>
            <w:r>
              <w:rPr>
                <w:rFonts w:ascii="Times New Roman" w:hAnsi="Times New Roman" w:eastAsia="仿宋_GB2312"/>
                <w:spacing w:val="-10"/>
                <w:sz w:val="24"/>
              </w:rPr>
              <w:t>每一条目得分据现场实际，在0</w:t>
            </w:r>
            <w:r>
              <w:rPr>
                <w:rFonts w:hint="eastAsia" w:ascii="方正书宋_GBK" w:hAnsi="Times New Roman" w:eastAsia="方正书宋_GBK"/>
                <w:spacing w:val="-10"/>
                <w:sz w:val="24"/>
              </w:rPr>
              <w:t>-</w:t>
            </w:r>
            <w:r>
              <w:rPr>
                <w:rFonts w:ascii="Times New Roman" w:hAnsi="Times New Roman" w:eastAsia="仿宋_GB2312"/>
                <w:spacing w:val="-10"/>
                <w:sz w:val="24"/>
              </w:rPr>
              <w:t>1分之间选择：</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①</w:t>
            </w:r>
            <w:r>
              <w:rPr>
                <w:rFonts w:ascii="Times New Roman" w:hAnsi="Times New Roman" w:eastAsia="仿宋_GB2312"/>
                <w:spacing w:val="-6"/>
                <w:kern w:val="0"/>
                <w:sz w:val="24"/>
              </w:rPr>
              <w:t>措施到位，满足考评指标要求。</w:t>
            </w:r>
          </w:p>
          <w:p>
            <w:pPr>
              <w:tabs>
                <w:tab w:val="left" w:pos="360"/>
              </w:tabs>
              <w:overflowPunct w:val="0"/>
              <w:spacing w:line="32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得分：1</w:t>
            </w:r>
            <w:r>
              <w:rPr>
                <w:rFonts w:ascii="Times New Roman" w:hAnsi="Times New Roman"/>
                <w:spacing w:val="-6"/>
                <w:kern w:val="0"/>
                <w:sz w:val="24"/>
              </w:rPr>
              <w:t>.</w:t>
            </w:r>
            <w:r>
              <w:rPr>
                <w:rFonts w:ascii="Times New Roman" w:hAnsi="Times New Roman" w:eastAsia="仿宋_GB2312"/>
                <w:spacing w:val="-6"/>
                <w:kern w:val="0"/>
                <w:sz w:val="24"/>
              </w:rPr>
              <w:t>0</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rPr>
              <w:t>②</w:t>
            </w:r>
            <w:r>
              <w:rPr>
                <w:rFonts w:ascii="Times New Roman" w:hAnsi="Times New Roman" w:eastAsia="仿宋_GB2312"/>
                <w:spacing w:val="-6"/>
                <w:kern w:val="0"/>
                <w:sz w:val="24"/>
              </w:rPr>
              <w:t>措施基本到位，部分满足考评指标要求。</w:t>
            </w:r>
          </w:p>
          <w:p>
            <w:pPr>
              <w:overflowPunct w:val="0"/>
              <w:spacing w:line="32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得分：0</w:t>
            </w:r>
            <w:r>
              <w:rPr>
                <w:rFonts w:ascii="Times New Roman" w:hAnsi="Times New Roman"/>
                <w:spacing w:val="-6"/>
                <w:kern w:val="0"/>
                <w:sz w:val="24"/>
              </w:rPr>
              <w:t>.</w:t>
            </w:r>
            <w:r>
              <w:rPr>
                <w:rFonts w:ascii="Times New Roman" w:hAnsi="Times New Roman" w:eastAsia="仿宋_GB2312"/>
                <w:spacing w:val="-6"/>
                <w:kern w:val="0"/>
                <w:sz w:val="24"/>
              </w:rPr>
              <w:t>5</w:t>
            </w:r>
          </w:p>
          <w:p>
            <w:pPr>
              <w:tabs>
                <w:tab w:val="left" w:pos="360"/>
              </w:tabs>
              <w:overflowPunct w:val="0"/>
              <w:spacing w:line="320" w:lineRule="exact"/>
              <w:textAlignment w:val="center"/>
              <w:rPr>
                <w:rFonts w:ascii="Times New Roman" w:hAnsi="Times New Roman" w:eastAsia="仿宋_GB2312"/>
                <w:spacing w:val="-6"/>
                <w:kern w:val="0"/>
                <w:sz w:val="24"/>
              </w:rPr>
            </w:pPr>
            <w:r>
              <w:rPr>
                <w:rFonts w:hint="eastAsia" w:ascii="宋体" w:hAnsi="宋体" w:cs="宋体"/>
                <w:spacing w:val="-6"/>
                <w:kern w:val="0"/>
                <w:sz w:val="24"/>
                <w:lang w:eastAsia="ja-JP"/>
              </w:rPr>
              <w:t>③</w:t>
            </w:r>
            <w:r>
              <w:rPr>
                <w:rFonts w:ascii="Times New Roman" w:hAnsi="Times New Roman" w:eastAsia="仿宋_GB2312"/>
                <w:spacing w:val="-6"/>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spacing w:val="-6"/>
                <w:kern w:val="0"/>
                <w:sz w:val="24"/>
              </w:rPr>
              <w:t>得分：0</w:t>
            </w: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p>
        </w:tc>
        <w:tc>
          <w:tcPr>
            <w:tcW w:w="2309"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6"/>
                <w:sz w:val="24"/>
              </w:rPr>
            </w:pPr>
            <w:r>
              <w:rPr>
                <w:rFonts w:ascii="Times New Roman" w:hAnsi="Times New Roman" w:eastAsia="仿宋_GB2312"/>
                <w:spacing w:val="-6"/>
                <w:kern w:val="0"/>
                <w:sz w:val="24"/>
              </w:rPr>
              <w:t>8</w:t>
            </w:r>
            <w:r>
              <w:rPr>
                <w:rFonts w:ascii="Times New Roman" w:hAnsi="Times New Roman"/>
                <w:spacing w:val="-6"/>
                <w:kern w:val="0"/>
                <w:sz w:val="24"/>
              </w:rPr>
              <w:t>.</w:t>
            </w:r>
            <w:r>
              <w:rPr>
                <w:rFonts w:ascii="Times New Roman" w:hAnsi="Times New Roman" w:eastAsia="仿宋_GB2312"/>
                <w:spacing w:val="-6"/>
                <w:kern w:val="0"/>
                <w:sz w:val="24"/>
              </w:rPr>
              <w:t>3</w:t>
            </w:r>
            <w:r>
              <w:rPr>
                <w:rFonts w:ascii="Times New Roman" w:hAnsi="Times New Roman"/>
                <w:spacing w:val="-6"/>
                <w:kern w:val="0"/>
                <w:sz w:val="24"/>
              </w:rPr>
              <w:t>.</w:t>
            </w:r>
            <w:r>
              <w:rPr>
                <w:rFonts w:ascii="Times New Roman" w:hAnsi="Times New Roman" w:eastAsia="仿宋_GB2312"/>
                <w:spacing w:val="-6"/>
                <w:kern w:val="0"/>
                <w:sz w:val="24"/>
              </w:rPr>
              <w:t>2</w:t>
            </w:r>
            <w:r>
              <w:rPr>
                <w:rFonts w:hint="eastAsia" w:ascii="Times New Roman" w:hAnsi="Times New Roman" w:eastAsia="仿宋_GB2312"/>
                <w:spacing w:val="-6"/>
                <w:kern w:val="0"/>
                <w:sz w:val="24"/>
              </w:rPr>
              <w:t>　</w:t>
            </w:r>
            <w:r>
              <w:rPr>
                <w:rFonts w:ascii="Times New Roman" w:hAnsi="Times New Roman" w:eastAsia="仿宋_GB2312"/>
                <w:kern w:val="0"/>
                <w:sz w:val="24"/>
              </w:rPr>
              <w:t>临时用电设备应采用自动控制装置。</w:t>
            </w:r>
          </w:p>
        </w:tc>
        <w:tc>
          <w:tcPr>
            <w:tcW w:w="1443"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p>
        </w:tc>
        <w:tc>
          <w:tcPr>
            <w:tcW w:w="2309"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6"/>
                <w:kern w:val="0"/>
                <w:sz w:val="24"/>
              </w:rPr>
            </w:pPr>
            <w:r>
              <w:rPr>
                <w:rFonts w:ascii="Times New Roman" w:hAnsi="Times New Roman" w:eastAsia="仿宋_GB2312"/>
                <w:spacing w:val="-6"/>
                <w:kern w:val="0"/>
                <w:sz w:val="24"/>
              </w:rPr>
              <w:t>8</w:t>
            </w:r>
            <w:r>
              <w:rPr>
                <w:rFonts w:ascii="Times New Roman" w:hAnsi="Times New Roman"/>
                <w:spacing w:val="-6"/>
                <w:kern w:val="0"/>
                <w:sz w:val="24"/>
              </w:rPr>
              <w:t>.</w:t>
            </w:r>
            <w:r>
              <w:rPr>
                <w:rFonts w:ascii="Times New Roman" w:hAnsi="Times New Roman" w:eastAsia="仿宋_GB2312"/>
                <w:spacing w:val="-6"/>
                <w:kern w:val="0"/>
                <w:sz w:val="24"/>
              </w:rPr>
              <w:t>3</w:t>
            </w:r>
            <w:r>
              <w:rPr>
                <w:rFonts w:ascii="Times New Roman" w:hAnsi="Times New Roman"/>
                <w:spacing w:val="-6"/>
                <w:kern w:val="0"/>
                <w:sz w:val="24"/>
              </w:rPr>
              <w:t>.</w:t>
            </w:r>
            <w:r>
              <w:rPr>
                <w:rFonts w:ascii="Times New Roman" w:hAnsi="Times New Roman" w:eastAsia="仿宋_GB2312"/>
                <w:spacing w:val="-6"/>
                <w:kern w:val="0"/>
                <w:sz w:val="24"/>
              </w:rPr>
              <w:t>3</w:t>
            </w:r>
            <w:r>
              <w:rPr>
                <w:rFonts w:hint="eastAsia" w:ascii="Times New Roman" w:hAnsi="Times New Roman" w:eastAsia="仿宋_GB2312"/>
                <w:spacing w:val="-6"/>
                <w:kern w:val="0"/>
                <w:sz w:val="24"/>
              </w:rPr>
              <w:t>　</w:t>
            </w:r>
            <w:r>
              <w:rPr>
                <w:rFonts w:ascii="Times New Roman" w:hAnsi="Times New Roman" w:eastAsia="仿宋_GB2312"/>
                <w:spacing w:val="-10"/>
                <w:kern w:val="0"/>
                <w:sz w:val="24"/>
              </w:rPr>
              <w:t>使用的施工设备和机具应符合国家、行业有关节能、高效、环保的规定。</w:t>
            </w:r>
          </w:p>
        </w:tc>
        <w:tc>
          <w:tcPr>
            <w:tcW w:w="1443"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87"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p>
        </w:tc>
        <w:tc>
          <w:tcPr>
            <w:tcW w:w="2309"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kern w:val="0"/>
                <w:sz w:val="24"/>
              </w:rPr>
              <w:t>办公、生活和施工现场，采用节能照明灯具的数量应大于80％。</w:t>
            </w:r>
          </w:p>
        </w:tc>
        <w:tc>
          <w:tcPr>
            <w:tcW w:w="1443" w:type="pct"/>
            <w:gridSpan w:val="2"/>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80"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87"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p>
        </w:tc>
        <w:tc>
          <w:tcPr>
            <w:tcW w:w="2309"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8</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5</w:t>
            </w:r>
            <w:r>
              <w:rPr>
                <w:rFonts w:hint="eastAsia" w:ascii="Times New Roman" w:hAnsi="Times New Roman" w:eastAsia="仿宋_GB2312"/>
                <w:kern w:val="0"/>
                <w:sz w:val="24"/>
              </w:rPr>
              <w:t>　</w:t>
            </w:r>
            <w:r>
              <w:rPr>
                <w:rFonts w:ascii="Times New Roman" w:hAnsi="Times New Roman" w:eastAsia="仿宋_GB2312"/>
                <w:kern w:val="0"/>
                <w:sz w:val="24"/>
              </w:rPr>
              <w:t>办公、生活和施工现场用电应分别计量。</w:t>
            </w:r>
          </w:p>
        </w:tc>
        <w:tc>
          <w:tcPr>
            <w:tcW w:w="1443" w:type="pct"/>
            <w:gridSpan w:val="2"/>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p>
        </w:tc>
        <w:tc>
          <w:tcPr>
            <w:tcW w:w="481"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480"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7" w:type="pct"/>
            <w:tcBorders>
              <w:top w:val="single" w:color="auto" w:sz="8" w:space="0"/>
              <w:left w:val="single" w:color="auto" w:sz="8" w:space="0"/>
              <w:bottom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评价结果</w:t>
            </w:r>
          </w:p>
        </w:tc>
        <w:tc>
          <w:tcPr>
            <w:tcW w:w="4713" w:type="pct"/>
            <w:gridSpan w:val="6"/>
            <w:tcBorders>
              <w:top w:val="single" w:color="auto" w:sz="8" w:space="0"/>
              <w:bottom w:val="single" w:color="auto" w:sz="8"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一般项得分A</w:t>
            </w:r>
            <w:r>
              <w:rPr>
                <w:rFonts w:ascii="宋体" w:hAnsi="宋体"/>
                <w:b/>
                <w:kern w:val="0"/>
                <w:sz w:val="24"/>
              </w:rPr>
              <w:t>＝</w:t>
            </w:r>
            <w:r>
              <w:rPr>
                <w:rFonts w:ascii="Times New Roman" w:hAnsi="Times New Roman" w:eastAsia="仿宋_GB2312"/>
                <w:b/>
                <w:kern w:val="0"/>
                <w:sz w:val="24"/>
              </w:rPr>
              <w:t>（B/C）</w:t>
            </w:r>
            <w:r>
              <w:rPr>
                <w:rFonts w:hint="eastAsia" w:ascii="宋体" w:hAnsi="宋体"/>
                <w:b/>
                <w:kern w:val="0"/>
                <w:sz w:val="24"/>
              </w:rPr>
              <w:t>×</w:t>
            </w:r>
            <w:r>
              <w:rPr>
                <w:rFonts w:ascii="Times New Roman" w:hAnsi="Times New Roman" w:eastAsia="仿宋_GB2312"/>
                <w:b/>
                <w:kern w:val="0"/>
                <w:sz w:val="24"/>
              </w:rPr>
              <w:t>100</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式中：A</w:t>
            </w:r>
            <w:r>
              <w:rPr>
                <w:rFonts w:hint="eastAsia" w:ascii="方正书宋_GBK" w:hAnsi="Times New Roman" w:eastAsia="方正书宋_GBK"/>
                <w:kern w:val="0"/>
                <w:sz w:val="24"/>
              </w:rPr>
              <w:t>-</w:t>
            </w:r>
            <w:r>
              <w:rPr>
                <w:rFonts w:ascii="Times New Roman" w:hAnsi="Times New Roman" w:eastAsia="仿宋_GB2312"/>
                <w:kern w:val="0"/>
                <w:sz w:val="24"/>
              </w:rPr>
              <w:t>折算分</w:t>
            </w:r>
          </w:p>
          <w:p>
            <w:pPr>
              <w:overflowPunct w:val="0"/>
              <w:spacing w:line="320" w:lineRule="exact"/>
              <w:ind w:firstLine="744" w:firstLineChars="310"/>
              <w:textAlignment w:val="center"/>
              <w:rPr>
                <w:rFonts w:ascii="Times New Roman" w:hAnsi="Times New Roman" w:eastAsia="仿宋_GB2312"/>
                <w:kern w:val="0"/>
                <w:sz w:val="24"/>
              </w:rPr>
            </w:pPr>
            <w:r>
              <w:rPr>
                <w:rFonts w:ascii="Times New Roman" w:hAnsi="Times New Roman" w:eastAsia="仿宋_GB2312"/>
                <w:kern w:val="0"/>
                <w:sz w:val="24"/>
              </w:rPr>
              <w:t>B</w:t>
            </w:r>
            <w:r>
              <w:rPr>
                <w:rFonts w:hint="eastAsia" w:ascii="方正书宋_GBK" w:hAnsi="Times New Roman" w:eastAsia="方正书宋_GBK"/>
                <w:kern w:val="0"/>
                <w:sz w:val="24"/>
              </w:rPr>
              <w:t>-</w:t>
            </w:r>
            <w:r>
              <w:rPr>
                <w:rFonts w:ascii="Times New Roman" w:hAnsi="Times New Roman" w:eastAsia="仿宋_GB2312"/>
                <w:kern w:val="0"/>
                <w:sz w:val="24"/>
              </w:rPr>
              <w:t>实际发生项条目实得分之和</w:t>
            </w:r>
          </w:p>
          <w:p>
            <w:pPr>
              <w:overflowPunct w:val="0"/>
              <w:spacing w:line="320" w:lineRule="exact"/>
              <w:ind w:firstLine="720" w:firstLineChars="300"/>
              <w:textAlignment w:val="center"/>
              <w:rPr>
                <w:rFonts w:ascii="Times New Roman" w:hAnsi="Times New Roman" w:eastAsia="仿宋_GB2312"/>
                <w:kern w:val="0"/>
                <w:sz w:val="24"/>
              </w:rPr>
            </w:pPr>
            <w:r>
              <w:rPr>
                <w:rFonts w:ascii="Times New Roman" w:hAnsi="Times New Roman" w:eastAsia="仿宋_GB2312"/>
                <w:kern w:val="0"/>
                <w:sz w:val="24"/>
              </w:rPr>
              <w:t>C</w:t>
            </w:r>
            <w:r>
              <w:rPr>
                <w:rFonts w:hint="eastAsia" w:ascii="方正书宋_GBK" w:hAnsi="Times New Roman" w:eastAsia="方正书宋_GBK"/>
                <w:kern w:val="0"/>
                <w:sz w:val="24"/>
              </w:rPr>
              <w:t>-</w:t>
            </w:r>
            <w:r>
              <w:rPr>
                <w:rFonts w:ascii="Times New Roman" w:hAnsi="Times New Roman" w:eastAsia="仿宋_GB2312"/>
                <w:kern w:val="0"/>
                <w:sz w:val="24"/>
              </w:rPr>
              <w:t>实际发生项条目应得分之和</w:t>
            </w: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优选项得分D</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式中：D</w:t>
            </w:r>
            <w:r>
              <w:rPr>
                <w:rFonts w:hint="eastAsia" w:ascii="方正书宋_GBK" w:hAnsi="Times New Roman" w:eastAsia="方正书宋_GBK"/>
                <w:kern w:val="0"/>
                <w:sz w:val="24"/>
              </w:rPr>
              <w:t>-</w:t>
            </w:r>
            <w:r>
              <w:rPr>
                <w:rFonts w:ascii="Times New Roman" w:hAnsi="Times New Roman" w:eastAsia="仿宋_GB2312"/>
                <w:kern w:val="0"/>
                <w:sz w:val="24"/>
              </w:rPr>
              <w:t>优选项实际发生条目加分之和</w:t>
            </w: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要素评价得分F</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式中：F</w:t>
            </w:r>
            <w:r>
              <w:rPr>
                <w:rFonts w:ascii="宋体" w:hAnsi="宋体"/>
                <w:kern w:val="0"/>
                <w:sz w:val="24"/>
              </w:rPr>
              <w:t>＝</w:t>
            </w:r>
            <w:r>
              <w:rPr>
                <w:rFonts w:ascii="Times New Roman" w:hAnsi="Times New Roman" w:eastAsia="仿宋_GB2312"/>
                <w:kern w:val="0"/>
                <w:sz w:val="24"/>
              </w:rPr>
              <w:t>一般项得分A</w:t>
            </w:r>
            <w:r>
              <w:rPr>
                <w:rFonts w:hint="eastAsia" w:ascii="宋体" w:hAnsi="宋体"/>
                <w:kern w:val="0"/>
                <w:sz w:val="24"/>
              </w:rPr>
              <w:t>＋</w:t>
            </w:r>
            <w:r>
              <w:rPr>
                <w:rFonts w:ascii="Times New Roman" w:hAnsi="Times New Roman" w:eastAsia="仿宋_GB2312"/>
                <w:kern w:val="0"/>
                <w:sz w:val="24"/>
              </w:rPr>
              <w:t>优选项得分D</w:t>
            </w:r>
          </w:p>
          <w:p>
            <w:pPr>
              <w:overflowPunct w:val="0"/>
              <w:spacing w:line="320" w:lineRule="exact"/>
              <w:textAlignment w:val="center"/>
              <w:rPr>
                <w:rFonts w:ascii="Times New Roman" w:hAnsi="Times New Roman" w:eastAsia="仿宋_GB2312"/>
                <w:b/>
                <w:kern w:val="0"/>
                <w:sz w:val="24"/>
              </w:rPr>
            </w:pPr>
          </w:p>
        </w:tc>
      </w:tr>
    </w:tbl>
    <w:p>
      <w:pPr>
        <w:widowControl/>
        <w:jc w:val="left"/>
        <w:rPr>
          <w:rFonts w:ascii="华文中宋" w:hAnsi="华文中宋" w:eastAsia="华文中宋"/>
          <w:sz w:val="28"/>
          <w:szCs w:val="28"/>
        </w:rPr>
      </w:pPr>
      <w:r>
        <w:rPr>
          <w:rFonts w:ascii="华文中宋" w:hAnsi="华文中宋" w:eastAsia="华文中宋"/>
          <w:sz w:val="28"/>
          <w:szCs w:val="28"/>
        </w:rPr>
        <w:br w:type="page"/>
      </w:r>
    </w:p>
    <w:p>
      <w:pPr>
        <w:rPr>
          <w:rFonts w:ascii="Times New Roman" w:hAnsi="Times New Roman" w:eastAsia="黑体"/>
          <w:sz w:val="32"/>
        </w:rPr>
      </w:pPr>
      <w:r>
        <w:rPr>
          <w:rFonts w:hint="eastAsia" w:ascii="Times New Roman" w:hAnsi="Times New Roman" w:eastAsia="黑体"/>
          <w:sz w:val="32"/>
        </w:rPr>
        <w:t>附表2</w:t>
      </w:r>
      <w:r>
        <w:rPr>
          <w:rFonts w:hint="eastAsia" w:ascii="方正书宋_GBK" w:hAnsi="Times New Roman" w:eastAsia="方正书宋_GBK"/>
          <w:sz w:val="32"/>
        </w:rPr>
        <w:t>-</w:t>
      </w:r>
      <w:r>
        <w:rPr>
          <w:rFonts w:hint="eastAsia" w:ascii="Times New Roman" w:hAnsi="Times New Roman" w:eastAsia="黑体"/>
          <w:sz w:val="32"/>
        </w:rPr>
        <w:t>5</w:t>
      </w:r>
    </w:p>
    <w:p>
      <w:pPr>
        <w:spacing w:before="144" w:beforeLines="60" w:after="144" w:afterLines="6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节地与土地资源利用要素评价表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94"/>
        <w:gridCol w:w="1074"/>
        <w:gridCol w:w="3584"/>
        <w:gridCol w:w="1993"/>
        <w:gridCol w:w="85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876" w:type="pct"/>
            <w:gridSpan w:val="2"/>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2002"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1113"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1009"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876" w:type="pct"/>
            <w:gridSpan w:val="2"/>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2002"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1113"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专家签字</w:t>
            </w:r>
          </w:p>
        </w:tc>
        <w:tc>
          <w:tcPr>
            <w:tcW w:w="1009"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876" w:type="pct"/>
            <w:gridSpan w:val="2"/>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2002"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p>
        </w:tc>
        <w:tc>
          <w:tcPr>
            <w:tcW w:w="1113"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1009"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控制项</w:t>
            </w:r>
          </w:p>
        </w:tc>
        <w:tc>
          <w:tcPr>
            <w:tcW w:w="2602"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13"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评价标准</w:t>
            </w:r>
          </w:p>
        </w:tc>
        <w:tc>
          <w:tcPr>
            <w:tcW w:w="1009" w:type="pct"/>
            <w:gridSpan w:val="2"/>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施工场地布置应合理并应实施动态管理。</w:t>
            </w:r>
          </w:p>
        </w:tc>
        <w:tc>
          <w:tcPr>
            <w:tcW w:w="1113"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措施到位，全部满足要求，</w:t>
            </w:r>
            <w:r>
              <w:rPr>
                <w:rFonts w:ascii="Times New Roman" w:hAnsi="Times New Roman" w:eastAsia="仿宋_GB2312"/>
                <w:sz w:val="24"/>
              </w:rPr>
              <w:t>进入一般项和优选项评价流程；</w:t>
            </w:r>
            <w:r>
              <w:rPr>
                <w:rFonts w:ascii="Times New Roman" w:hAnsi="Times New Roman" w:eastAsia="仿宋_GB2312"/>
                <w:kern w:val="0"/>
                <w:sz w:val="24"/>
              </w:rPr>
              <w:t>否则，</w:t>
            </w:r>
            <w:r>
              <w:rPr>
                <w:rFonts w:ascii="Times New Roman" w:hAnsi="Times New Roman" w:eastAsia="仿宋_GB2312"/>
                <w:sz w:val="24"/>
              </w:rPr>
              <w:t>为非绿色施工要素。</w:t>
            </w:r>
          </w:p>
        </w:tc>
        <w:tc>
          <w:tcPr>
            <w:tcW w:w="1009"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施工临时用地应有审批用地手续。</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kern w:val="0"/>
                <w:sz w:val="24"/>
              </w:rPr>
            </w:pPr>
          </w:p>
        </w:tc>
        <w:tc>
          <w:tcPr>
            <w:tcW w:w="1009" w:type="pct"/>
            <w:gridSpan w:val="2"/>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6" w:hRule="atLeast"/>
          <w:jc w:val="center"/>
        </w:trPr>
        <w:tc>
          <w:tcPr>
            <w:tcW w:w="276"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1</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施工单位应充分了解施工现场及毗邻区域内人文景观保护要求、工程地质情况及基础设施管线分布情况，制订相应保护措施，并应报请相关方核准。</w:t>
            </w:r>
          </w:p>
        </w:tc>
        <w:tc>
          <w:tcPr>
            <w:tcW w:w="1113"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1009" w:type="pct"/>
            <w:gridSpan w:val="2"/>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一般项</w:t>
            </w:r>
          </w:p>
        </w:tc>
        <w:tc>
          <w:tcPr>
            <w:tcW w:w="2602"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13"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75"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534"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2</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节约用地应符合下列规定：</w:t>
            </w:r>
          </w:p>
        </w:tc>
        <w:tc>
          <w:tcPr>
            <w:tcW w:w="1113"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2分之间选择：</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①</w:t>
            </w:r>
            <w:r>
              <w:rPr>
                <w:rFonts w:ascii="Times New Roman" w:hAnsi="Times New Roman" w:eastAsia="仿宋_GB2312"/>
                <w:kern w:val="0"/>
                <w:sz w:val="24"/>
              </w:rPr>
              <w:t>措施到位</w:t>
            </w:r>
            <w:r>
              <w:rPr>
                <w:rFonts w:ascii="Times New Roman" w:hAnsi="Times New Roman" w:eastAsia="仿宋_GB2312"/>
                <w:spacing w:val="-4"/>
                <w:kern w:val="0"/>
                <w:sz w:val="24"/>
              </w:rPr>
              <w:t>，满足考评指标要求。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得分：2</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②</w:t>
            </w:r>
            <w:r>
              <w:rPr>
                <w:rFonts w:ascii="Times New Roman" w:hAnsi="Times New Roman" w:eastAsia="仿宋_GB2312"/>
                <w:kern w:val="0"/>
                <w:sz w:val="24"/>
              </w:rPr>
              <w:t>措施基本到位，部分满足考评指标要求。</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lang w:eastAsia="ja-JP"/>
              </w:rPr>
              <w:t>③</w:t>
            </w:r>
            <w:r>
              <w:rPr>
                <w:rFonts w:ascii="Times New Roman" w:hAnsi="Times New Roman" w:eastAsia="仿宋_GB2312"/>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 xml:space="preserve">1 </w:t>
            </w:r>
            <w:r>
              <w:rPr>
                <w:rFonts w:ascii="Times New Roman" w:hAnsi="Times New Roman" w:eastAsia="仿宋_GB2312"/>
                <w:spacing w:val="-14"/>
                <w:kern w:val="0"/>
                <w:sz w:val="24"/>
              </w:rPr>
              <w:t>施工总平面布置应紧凑，并应尽量减少占地。</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6"/>
                <w:sz w:val="24"/>
              </w:rPr>
            </w:pPr>
            <w:r>
              <w:rPr>
                <w:rFonts w:ascii="Times New Roman" w:hAnsi="Times New Roman" w:eastAsia="仿宋_GB2312"/>
                <w:spacing w:val="-6"/>
                <w:kern w:val="0"/>
                <w:sz w:val="24"/>
              </w:rPr>
              <w:t>2 应在经批准的临时用地范围内组织施工。</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pacing w:val="-6"/>
                <w:sz w:val="24"/>
              </w:rPr>
            </w:pPr>
            <w:r>
              <w:rPr>
                <w:rFonts w:ascii="Times New Roman" w:hAnsi="Times New Roman" w:eastAsia="仿宋_GB2312"/>
                <w:spacing w:val="-6"/>
                <w:kern w:val="0"/>
                <w:sz w:val="24"/>
              </w:rPr>
              <w:t xml:space="preserve">3 </w:t>
            </w:r>
            <w:r>
              <w:rPr>
                <w:rFonts w:ascii="Times New Roman" w:hAnsi="Times New Roman" w:eastAsia="仿宋_GB2312"/>
                <w:spacing w:val="-10"/>
                <w:kern w:val="0"/>
                <w:sz w:val="24"/>
              </w:rPr>
              <w:t>应根据现场条件，合理设计场内交通道路。</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kern w:val="0"/>
                <w:sz w:val="24"/>
              </w:rPr>
              <w:t>4 施工现场临时道路布置应与原有及永久道路兼顾考虑，并应充分利用拟建道路为施工服务。</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5 应采用商品混凝土。</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9</w:t>
            </w:r>
            <w:r>
              <w:rPr>
                <w:rFonts w:ascii="Times New Roman" w:hAnsi="Times New Roman"/>
                <w:b/>
                <w:kern w:val="0"/>
                <w:sz w:val="24"/>
              </w:rPr>
              <w:t>.</w:t>
            </w:r>
            <w:r>
              <w:rPr>
                <w:rFonts w:ascii="Times New Roman" w:hAnsi="Times New Roman" w:eastAsia="仿宋_GB2312"/>
                <w:b/>
                <w:kern w:val="0"/>
                <w:sz w:val="24"/>
              </w:rPr>
              <w:t>2</w:t>
            </w:r>
            <w:r>
              <w:rPr>
                <w:rFonts w:ascii="Times New Roman" w:hAnsi="Times New Roman"/>
                <w:b/>
                <w:kern w:val="0"/>
                <w:sz w:val="24"/>
              </w:rPr>
              <w:t>.</w:t>
            </w:r>
            <w:r>
              <w:rPr>
                <w:rFonts w:ascii="Times New Roman" w:hAnsi="Times New Roman" w:eastAsia="仿宋_GB2312"/>
                <w:b/>
                <w:kern w:val="0"/>
                <w:sz w:val="24"/>
              </w:rPr>
              <w:t>2</w:t>
            </w:r>
            <w:r>
              <w:rPr>
                <w:rFonts w:hint="eastAsia" w:ascii="Times New Roman" w:hAnsi="Times New Roman" w:eastAsia="仿宋_GB2312"/>
                <w:b/>
                <w:kern w:val="0"/>
                <w:sz w:val="24"/>
              </w:rPr>
              <w:t>　</w:t>
            </w:r>
            <w:r>
              <w:rPr>
                <w:rFonts w:ascii="Times New Roman" w:hAnsi="Times New Roman" w:eastAsia="仿宋_GB2312"/>
                <w:b/>
                <w:kern w:val="0"/>
                <w:sz w:val="24"/>
              </w:rPr>
              <w:t>保护用地应符合下列规定：</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1 应采取防止水土流失的措施。</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2 应充分利用山地、荒地作为取、弃土场的用地。</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b/>
                <w:sz w:val="24"/>
              </w:rPr>
            </w:pPr>
            <w:r>
              <w:rPr>
                <w:rFonts w:ascii="Times New Roman" w:hAnsi="Times New Roman" w:eastAsia="仿宋_GB2312"/>
                <w:kern w:val="0"/>
                <w:sz w:val="24"/>
              </w:rPr>
              <w:t>3 施工后应恢复植被。</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4 应对深基坑施工方案进行优化，并应减少土方开挖和回填量，保护用地。</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5 在生态脆弱的地区施工完成后，应进行地貌复原。</w:t>
            </w:r>
          </w:p>
        </w:tc>
        <w:tc>
          <w:tcPr>
            <w:tcW w:w="1113"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2</w:t>
            </w:r>
          </w:p>
        </w:tc>
        <w:tc>
          <w:tcPr>
            <w:tcW w:w="534"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276" w:type="pct"/>
            <w:vMerge w:val="restart"/>
            <w:tcBorders>
              <w:top w:val="single" w:color="auto" w:sz="8"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优选项</w:t>
            </w:r>
          </w:p>
        </w:tc>
        <w:tc>
          <w:tcPr>
            <w:tcW w:w="2602" w:type="pct"/>
            <w:gridSpan w:val="2"/>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条文编号及内容</w:t>
            </w:r>
          </w:p>
        </w:tc>
        <w:tc>
          <w:tcPr>
            <w:tcW w:w="1113"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计分标准</w:t>
            </w:r>
          </w:p>
        </w:tc>
        <w:tc>
          <w:tcPr>
            <w:tcW w:w="475" w:type="pct"/>
            <w:tcBorders>
              <w:top w:val="single" w:color="auto" w:sz="8"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应得分</w:t>
            </w:r>
          </w:p>
        </w:tc>
        <w:tc>
          <w:tcPr>
            <w:tcW w:w="534" w:type="pct"/>
            <w:tcBorders>
              <w:top w:val="single" w:color="auto" w:sz="8"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1</w:t>
            </w:r>
            <w:r>
              <w:rPr>
                <w:rFonts w:hint="eastAsia" w:ascii="Times New Roman" w:hAnsi="Times New Roman" w:eastAsia="仿宋_GB2312"/>
                <w:kern w:val="0"/>
                <w:sz w:val="24"/>
              </w:rPr>
              <w:t>　</w:t>
            </w:r>
            <w:r>
              <w:rPr>
                <w:rFonts w:ascii="Times New Roman" w:hAnsi="Times New Roman" w:eastAsia="仿宋_GB2312"/>
                <w:kern w:val="0"/>
                <w:sz w:val="24"/>
              </w:rPr>
              <w:t>临时办公和生活用房应采用结构可靠的多层轻钢活动板房、钢骨架多层水泥活动板房等可重复使用的装配式结构。</w:t>
            </w:r>
          </w:p>
        </w:tc>
        <w:tc>
          <w:tcPr>
            <w:tcW w:w="1113" w:type="pct"/>
            <w:vMerge w:val="restar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sz w:val="24"/>
              </w:rPr>
              <w:t>每一条目得分据现场实际，在0</w:t>
            </w:r>
            <w:r>
              <w:rPr>
                <w:rFonts w:hint="eastAsia" w:ascii="方正书宋_GBK" w:hAnsi="Times New Roman" w:eastAsia="方正书宋_GBK"/>
                <w:sz w:val="24"/>
              </w:rPr>
              <w:t>-</w:t>
            </w:r>
            <w:r>
              <w:rPr>
                <w:rFonts w:ascii="Times New Roman" w:hAnsi="Times New Roman" w:eastAsia="仿宋_GB2312"/>
                <w:sz w:val="24"/>
              </w:rPr>
              <w:t>1分之间选择：</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①</w:t>
            </w:r>
            <w:r>
              <w:rPr>
                <w:rFonts w:ascii="Times New Roman" w:hAnsi="Times New Roman" w:eastAsia="仿宋_GB2312"/>
                <w:kern w:val="0"/>
                <w:sz w:val="24"/>
              </w:rPr>
              <w:t>措施到位</w:t>
            </w:r>
            <w:r>
              <w:rPr>
                <w:rFonts w:ascii="Times New Roman" w:hAnsi="Times New Roman" w:eastAsia="仿宋_GB2312"/>
                <w:spacing w:val="-4"/>
                <w:kern w:val="0"/>
                <w:sz w:val="24"/>
              </w:rPr>
              <w:t>，满足考评指标要求。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得分：1</w:t>
            </w:r>
            <w:r>
              <w:rPr>
                <w:rFonts w:ascii="Times New Roman" w:hAnsi="Times New Roman"/>
                <w:kern w:val="0"/>
                <w:sz w:val="24"/>
              </w:rPr>
              <w:t>.</w:t>
            </w:r>
            <w:r>
              <w:rPr>
                <w:rFonts w:ascii="Times New Roman" w:hAnsi="Times New Roman" w:eastAsia="仿宋_GB2312"/>
                <w:kern w:val="0"/>
                <w:sz w:val="24"/>
              </w:rPr>
              <w:t>0</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rPr>
              <w:t>②</w:t>
            </w:r>
            <w:r>
              <w:rPr>
                <w:rFonts w:ascii="Times New Roman" w:hAnsi="Times New Roman" w:eastAsia="仿宋_GB2312"/>
                <w:spacing w:val="-4"/>
                <w:kern w:val="0"/>
                <w:sz w:val="24"/>
              </w:rPr>
              <w:t>措施基本到位，部分满足考评指标要求。</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r>
              <w:rPr>
                <w:rFonts w:ascii="Times New Roman" w:hAnsi="Times New Roman"/>
                <w:kern w:val="0"/>
                <w:sz w:val="24"/>
              </w:rPr>
              <w:t>.</w:t>
            </w:r>
            <w:r>
              <w:rPr>
                <w:rFonts w:ascii="Times New Roman" w:hAnsi="Times New Roman" w:eastAsia="仿宋_GB2312"/>
                <w:kern w:val="0"/>
                <w:sz w:val="24"/>
              </w:rPr>
              <w:t>5</w:t>
            </w:r>
          </w:p>
          <w:p>
            <w:pPr>
              <w:tabs>
                <w:tab w:val="left" w:pos="360"/>
              </w:tabs>
              <w:overflowPunct w:val="0"/>
              <w:spacing w:line="320" w:lineRule="exact"/>
              <w:textAlignment w:val="center"/>
              <w:rPr>
                <w:rFonts w:ascii="Times New Roman" w:hAnsi="Times New Roman" w:eastAsia="仿宋_GB2312"/>
                <w:kern w:val="0"/>
                <w:sz w:val="24"/>
              </w:rPr>
            </w:pPr>
            <w:r>
              <w:rPr>
                <w:rFonts w:hint="eastAsia" w:ascii="宋体" w:hAnsi="宋体" w:cs="宋体"/>
                <w:spacing w:val="-6"/>
                <w:kern w:val="0"/>
                <w:sz w:val="24"/>
                <w:lang w:eastAsia="ja-JP"/>
              </w:rPr>
              <w:t>③</w:t>
            </w:r>
            <w:r>
              <w:rPr>
                <w:rFonts w:ascii="Times New Roman" w:hAnsi="Times New Roman" w:eastAsia="仿宋_GB2312"/>
                <w:kern w:val="0"/>
                <w:sz w:val="24"/>
              </w:rPr>
              <w:t>措施不到位，不满足考评指标要求。</w:t>
            </w:r>
          </w:p>
          <w:p>
            <w:pPr>
              <w:tabs>
                <w:tab w:val="left" w:pos="360"/>
              </w:tabs>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得分：0</w:t>
            </w: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2</w:t>
            </w:r>
            <w:r>
              <w:rPr>
                <w:rFonts w:hint="eastAsia" w:ascii="Times New Roman" w:hAnsi="Times New Roman" w:eastAsia="仿宋_GB2312"/>
                <w:kern w:val="0"/>
                <w:sz w:val="24"/>
              </w:rPr>
              <w:t>　</w:t>
            </w:r>
            <w:r>
              <w:rPr>
                <w:rFonts w:ascii="Times New Roman" w:hAnsi="Times New Roman" w:eastAsia="仿宋_GB2312"/>
                <w:kern w:val="0"/>
                <w:sz w:val="24"/>
              </w:rPr>
              <w:t>对施工中发现的地下文物资源，应进行有效保护，处理措施恰当。</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3</w:t>
            </w:r>
            <w:r>
              <w:rPr>
                <w:rFonts w:hint="eastAsia" w:ascii="Times New Roman" w:hAnsi="Times New Roman" w:eastAsia="仿宋_GB2312"/>
                <w:kern w:val="0"/>
                <w:sz w:val="24"/>
              </w:rPr>
              <w:t>　</w:t>
            </w:r>
            <w:r>
              <w:rPr>
                <w:rFonts w:ascii="Times New Roman" w:hAnsi="Times New Roman" w:eastAsia="仿宋_GB2312"/>
                <w:kern w:val="0"/>
                <w:sz w:val="24"/>
              </w:rPr>
              <w:t>地下水位控制应对相邻地表和建筑物无有害影响。</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76" w:type="pct"/>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4</w:t>
            </w:r>
            <w:r>
              <w:rPr>
                <w:rFonts w:hint="eastAsia" w:ascii="Times New Roman" w:hAnsi="Times New Roman" w:eastAsia="仿宋_GB2312"/>
                <w:kern w:val="0"/>
                <w:sz w:val="24"/>
              </w:rPr>
              <w:t>　</w:t>
            </w:r>
            <w:r>
              <w:rPr>
                <w:rFonts w:ascii="Times New Roman" w:hAnsi="Times New Roman" w:eastAsia="仿宋_GB2312"/>
                <w:kern w:val="0"/>
                <w:sz w:val="24"/>
              </w:rPr>
              <w:t>钢筋加工应配送化，构件制作应工厂化。</w:t>
            </w:r>
          </w:p>
        </w:tc>
        <w:tc>
          <w:tcPr>
            <w:tcW w:w="1113"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4" w:type="pct"/>
            <w:tcBorders>
              <w:top w:val="single" w:color="auto" w:sz="2" w:space="0"/>
              <w:left w:val="single" w:color="auto" w:sz="2" w:space="0"/>
              <w:bottom w:val="single" w:color="auto" w:sz="2"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76" w:type="pct"/>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p>
        </w:tc>
        <w:tc>
          <w:tcPr>
            <w:tcW w:w="2602" w:type="pct"/>
            <w:gridSpan w:val="2"/>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9</w:t>
            </w:r>
            <w:r>
              <w:rPr>
                <w:rFonts w:ascii="Times New Roman" w:hAnsi="Times New Roman"/>
                <w:kern w:val="0"/>
                <w:sz w:val="24"/>
              </w:rPr>
              <w:t>.</w:t>
            </w:r>
            <w:r>
              <w:rPr>
                <w:rFonts w:ascii="Times New Roman" w:hAnsi="Times New Roman" w:eastAsia="仿宋_GB2312"/>
                <w:kern w:val="0"/>
                <w:sz w:val="24"/>
              </w:rPr>
              <w:t>3</w:t>
            </w:r>
            <w:r>
              <w:rPr>
                <w:rFonts w:ascii="Times New Roman" w:hAnsi="Times New Roman"/>
                <w:kern w:val="0"/>
                <w:sz w:val="24"/>
              </w:rPr>
              <w:t>.</w:t>
            </w:r>
            <w:r>
              <w:rPr>
                <w:rFonts w:ascii="Times New Roman" w:hAnsi="Times New Roman" w:eastAsia="仿宋_GB2312"/>
                <w:kern w:val="0"/>
                <w:sz w:val="24"/>
              </w:rPr>
              <w:t>5</w:t>
            </w:r>
            <w:r>
              <w:rPr>
                <w:rFonts w:hint="eastAsia" w:ascii="Times New Roman" w:hAnsi="Times New Roman" w:eastAsia="仿宋_GB2312"/>
                <w:kern w:val="0"/>
                <w:sz w:val="24"/>
              </w:rPr>
              <w:t>　</w:t>
            </w:r>
            <w:r>
              <w:rPr>
                <w:rFonts w:ascii="Times New Roman" w:hAnsi="Times New Roman" w:eastAsia="仿宋_GB2312"/>
                <w:kern w:val="0"/>
                <w:sz w:val="24"/>
              </w:rPr>
              <w:t>施工总平面布置应能充分利用和保护原有建筑物、构筑物、道路和管线等，职工宿舍应满足2m</w:t>
            </w:r>
            <w:r>
              <w:rPr>
                <w:rFonts w:ascii="Times New Roman" w:hAnsi="Times New Roman" w:eastAsia="仿宋_GB2312"/>
                <w:kern w:val="0"/>
                <w:sz w:val="24"/>
                <w:vertAlign w:val="superscript"/>
              </w:rPr>
              <w:t>2</w:t>
            </w:r>
            <w:r>
              <w:rPr>
                <w:rFonts w:ascii="Times New Roman" w:hAnsi="Times New Roman" w:eastAsia="仿宋_GB2312"/>
                <w:kern w:val="0"/>
                <w:sz w:val="24"/>
              </w:rPr>
              <w:t>/人的使用面积要求。</w:t>
            </w:r>
          </w:p>
        </w:tc>
        <w:tc>
          <w:tcPr>
            <w:tcW w:w="1113" w:type="pct"/>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c>
          <w:tcPr>
            <w:tcW w:w="475" w:type="pct"/>
            <w:tcBorders>
              <w:top w:val="single" w:color="auto" w:sz="2" w:space="0"/>
              <w:left w:val="single" w:color="auto" w:sz="2"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b/>
                <w:sz w:val="24"/>
              </w:rPr>
              <w:t>1</w:t>
            </w:r>
          </w:p>
        </w:tc>
        <w:tc>
          <w:tcPr>
            <w:tcW w:w="534" w:type="pct"/>
            <w:tcBorders>
              <w:top w:val="single" w:color="auto" w:sz="2" w:space="0"/>
              <w:left w:val="single" w:color="auto" w:sz="2" w:space="0"/>
              <w:bottom w:val="single" w:color="auto" w:sz="8" w:space="0"/>
              <w:right w:val="single" w:color="auto" w:sz="8" w:space="0"/>
            </w:tcBorders>
            <w:shd w:val="clear" w:color="auto" w:fill="auto"/>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76" w:type="pct"/>
            <w:tcBorders>
              <w:top w:val="single" w:color="auto" w:sz="8" w:space="0"/>
              <w:left w:val="single" w:color="auto" w:sz="8" w:space="0"/>
              <w:bottom w:val="single" w:color="auto" w:sz="8" w:space="0"/>
              <w:right w:val="single" w:color="auto" w:sz="2" w:space="0"/>
            </w:tcBorders>
            <w:shd w:val="clear" w:color="auto" w:fill="auto"/>
            <w:vAlign w:val="center"/>
          </w:tcPr>
          <w:p>
            <w:pPr>
              <w:overflowPunct w:val="0"/>
              <w:spacing w:line="320" w:lineRule="exact"/>
              <w:jc w:val="center"/>
              <w:textAlignment w:val="center"/>
              <w:rPr>
                <w:rFonts w:ascii="Times New Roman" w:hAnsi="Times New Roman" w:eastAsia="仿宋_GB2312"/>
                <w:b/>
                <w:sz w:val="24"/>
              </w:rPr>
            </w:pPr>
            <w:r>
              <w:rPr>
                <w:rFonts w:ascii="Times New Roman" w:hAnsi="Times New Roman" w:eastAsia="仿宋_GB2312"/>
                <w:b/>
                <w:sz w:val="24"/>
              </w:rPr>
              <w:t>评价结果</w:t>
            </w:r>
          </w:p>
        </w:tc>
        <w:tc>
          <w:tcPr>
            <w:tcW w:w="4724" w:type="pct"/>
            <w:gridSpan w:val="5"/>
            <w:tcBorders>
              <w:top w:val="single" w:color="auto" w:sz="8" w:space="0"/>
              <w:left w:val="single" w:color="auto" w:sz="2" w:space="0"/>
              <w:bottom w:val="single" w:color="auto" w:sz="8" w:space="0"/>
              <w:right w:val="single" w:color="auto" w:sz="8" w:space="0"/>
            </w:tcBorders>
            <w:shd w:val="clear" w:color="auto" w:fill="auto"/>
            <w:vAlign w:val="center"/>
          </w:tcPr>
          <w:p>
            <w:pPr>
              <w:overflowPunct w:val="0"/>
              <w:spacing w:line="320" w:lineRule="exact"/>
              <w:textAlignment w:val="center"/>
              <w:rPr>
                <w:rFonts w:ascii="Times New Roman" w:hAnsi="Times New Roman" w:eastAsia="仿宋_GB2312"/>
                <w:b/>
                <w:kern w:val="0"/>
                <w:sz w:val="24"/>
              </w:rPr>
            </w:pP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一般项得分A</w:t>
            </w:r>
            <w:r>
              <w:rPr>
                <w:rFonts w:ascii="宋体" w:hAnsi="宋体"/>
                <w:b/>
                <w:kern w:val="0"/>
                <w:sz w:val="24"/>
              </w:rPr>
              <w:t>＝</w:t>
            </w:r>
            <w:r>
              <w:rPr>
                <w:rFonts w:ascii="Times New Roman" w:hAnsi="Times New Roman" w:eastAsia="仿宋_GB2312"/>
                <w:b/>
                <w:kern w:val="0"/>
                <w:sz w:val="24"/>
              </w:rPr>
              <w:t>（B/C）</w:t>
            </w:r>
            <w:r>
              <w:rPr>
                <w:rFonts w:hint="eastAsia" w:ascii="宋体" w:hAnsi="宋体"/>
                <w:b/>
                <w:kern w:val="0"/>
                <w:sz w:val="24"/>
              </w:rPr>
              <w:t>×</w:t>
            </w:r>
            <w:r>
              <w:rPr>
                <w:rFonts w:ascii="Times New Roman" w:hAnsi="Times New Roman" w:eastAsia="仿宋_GB2312"/>
                <w:b/>
                <w:kern w:val="0"/>
                <w:sz w:val="24"/>
              </w:rPr>
              <w:t>100</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式中：A</w:t>
            </w:r>
            <w:r>
              <w:rPr>
                <w:rFonts w:hint="eastAsia" w:ascii="方正书宋_GBK" w:hAnsi="Times New Roman" w:eastAsia="方正书宋_GBK"/>
                <w:kern w:val="0"/>
                <w:sz w:val="24"/>
              </w:rPr>
              <w:t>-</w:t>
            </w:r>
            <w:r>
              <w:rPr>
                <w:rFonts w:ascii="Times New Roman" w:hAnsi="Times New Roman" w:eastAsia="仿宋_GB2312"/>
                <w:kern w:val="0"/>
                <w:sz w:val="24"/>
              </w:rPr>
              <w:t>折算分</w:t>
            </w:r>
          </w:p>
          <w:p>
            <w:pPr>
              <w:overflowPunct w:val="0"/>
              <w:spacing w:line="320" w:lineRule="exact"/>
              <w:ind w:firstLine="744" w:firstLineChars="310"/>
              <w:textAlignment w:val="center"/>
              <w:rPr>
                <w:rFonts w:ascii="Times New Roman" w:hAnsi="Times New Roman" w:eastAsia="仿宋_GB2312"/>
                <w:kern w:val="0"/>
                <w:sz w:val="24"/>
              </w:rPr>
            </w:pPr>
            <w:r>
              <w:rPr>
                <w:rFonts w:ascii="Times New Roman" w:hAnsi="Times New Roman" w:eastAsia="仿宋_GB2312"/>
                <w:kern w:val="0"/>
                <w:sz w:val="24"/>
              </w:rPr>
              <w:t>B</w:t>
            </w:r>
            <w:r>
              <w:rPr>
                <w:rFonts w:hint="eastAsia" w:ascii="方正书宋_GBK" w:hAnsi="Times New Roman" w:eastAsia="方正书宋_GBK"/>
                <w:kern w:val="0"/>
                <w:sz w:val="24"/>
              </w:rPr>
              <w:t>-</w:t>
            </w:r>
            <w:r>
              <w:rPr>
                <w:rFonts w:ascii="Times New Roman" w:hAnsi="Times New Roman" w:eastAsia="仿宋_GB2312"/>
                <w:kern w:val="0"/>
                <w:sz w:val="24"/>
              </w:rPr>
              <w:t>实际发生项条目实得分之和</w:t>
            </w:r>
          </w:p>
          <w:p>
            <w:pPr>
              <w:overflowPunct w:val="0"/>
              <w:spacing w:line="320" w:lineRule="exact"/>
              <w:ind w:firstLine="720" w:firstLineChars="300"/>
              <w:textAlignment w:val="center"/>
              <w:rPr>
                <w:rFonts w:ascii="Times New Roman" w:hAnsi="Times New Roman" w:eastAsia="仿宋_GB2312"/>
                <w:kern w:val="0"/>
                <w:sz w:val="24"/>
              </w:rPr>
            </w:pPr>
            <w:r>
              <w:rPr>
                <w:rFonts w:ascii="Times New Roman" w:hAnsi="Times New Roman" w:eastAsia="仿宋_GB2312"/>
                <w:kern w:val="0"/>
                <w:sz w:val="24"/>
              </w:rPr>
              <w:t>C</w:t>
            </w:r>
            <w:r>
              <w:rPr>
                <w:rFonts w:hint="eastAsia" w:ascii="方正书宋_GBK" w:hAnsi="Times New Roman" w:eastAsia="方正书宋_GBK"/>
                <w:kern w:val="0"/>
                <w:sz w:val="24"/>
              </w:rPr>
              <w:t>-</w:t>
            </w:r>
            <w:r>
              <w:rPr>
                <w:rFonts w:ascii="Times New Roman" w:hAnsi="Times New Roman" w:eastAsia="仿宋_GB2312"/>
                <w:kern w:val="0"/>
                <w:sz w:val="24"/>
              </w:rPr>
              <w:t>实际发生项条目应得分之和</w:t>
            </w: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优选项得分D</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式中：D</w:t>
            </w:r>
            <w:r>
              <w:rPr>
                <w:rFonts w:hint="eastAsia" w:ascii="方正书宋_GBK" w:hAnsi="Times New Roman" w:eastAsia="方正书宋_GBK"/>
                <w:kern w:val="0"/>
                <w:sz w:val="24"/>
              </w:rPr>
              <w:t>-</w:t>
            </w:r>
            <w:r>
              <w:rPr>
                <w:rFonts w:ascii="Times New Roman" w:hAnsi="Times New Roman" w:eastAsia="仿宋_GB2312"/>
                <w:kern w:val="0"/>
                <w:sz w:val="24"/>
              </w:rPr>
              <w:t>优选项实际发生条目加分之和</w:t>
            </w:r>
          </w:p>
          <w:p>
            <w:pPr>
              <w:overflowPunct w:val="0"/>
              <w:spacing w:line="320" w:lineRule="exact"/>
              <w:textAlignment w:val="center"/>
              <w:rPr>
                <w:rFonts w:ascii="Times New Roman" w:hAnsi="Times New Roman" w:eastAsia="仿宋_GB2312"/>
                <w:b/>
                <w:kern w:val="0"/>
                <w:sz w:val="24"/>
              </w:rPr>
            </w:pPr>
            <w:r>
              <w:rPr>
                <w:rFonts w:ascii="Times New Roman" w:hAnsi="Times New Roman" w:eastAsia="仿宋_GB2312"/>
                <w:b/>
                <w:kern w:val="0"/>
                <w:sz w:val="24"/>
              </w:rPr>
              <w:t>要素评价得分F</w:t>
            </w:r>
            <w:r>
              <w:rPr>
                <w:rFonts w:ascii="宋体" w:hAnsi="宋体"/>
                <w:b/>
                <w:kern w:val="0"/>
                <w:sz w:val="24"/>
              </w:rPr>
              <w:t>＝</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式中：F</w:t>
            </w:r>
            <w:r>
              <w:rPr>
                <w:rFonts w:ascii="宋体" w:hAnsi="宋体"/>
                <w:kern w:val="0"/>
                <w:sz w:val="24"/>
              </w:rPr>
              <w:t>＝</w:t>
            </w:r>
            <w:r>
              <w:rPr>
                <w:rFonts w:ascii="Times New Roman" w:hAnsi="Times New Roman" w:eastAsia="仿宋_GB2312"/>
                <w:kern w:val="0"/>
                <w:sz w:val="24"/>
              </w:rPr>
              <w:t>一般项得分A</w:t>
            </w:r>
            <w:r>
              <w:rPr>
                <w:rFonts w:hint="eastAsia" w:ascii="宋体" w:hAnsi="宋体"/>
                <w:kern w:val="0"/>
                <w:sz w:val="24"/>
              </w:rPr>
              <w:t>＋</w:t>
            </w:r>
            <w:r>
              <w:rPr>
                <w:rFonts w:ascii="Times New Roman" w:hAnsi="Times New Roman" w:eastAsia="仿宋_GB2312"/>
                <w:kern w:val="0"/>
                <w:sz w:val="24"/>
              </w:rPr>
              <w:t>优选项得分D</w:t>
            </w:r>
          </w:p>
          <w:p>
            <w:pPr>
              <w:overflowPunct w:val="0"/>
              <w:spacing w:line="320" w:lineRule="exact"/>
              <w:textAlignment w:val="center"/>
              <w:rPr>
                <w:rFonts w:ascii="Times New Roman" w:hAnsi="Times New Roman" w:eastAsia="仿宋_GB2312"/>
                <w:b/>
                <w:kern w:val="0"/>
                <w:sz w:val="24"/>
              </w:rPr>
            </w:pPr>
          </w:p>
        </w:tc>
      </w:tr>
    </w:tbl>
    <w:p/>
    <w:p>
      <w:pPr>
        <w:widowControl/>
        <w:jc w:val="left"/>
        <w:rPr>
          <w:rFonts w:ascii="华文中宋" w:hAnsi="华文中宋" w:eastAsia="华文中宋"/>
          <w:sz w:val="28"/>
          <w:szCs w:val="28"/>
        </w:rPr>
      </w:pPr>
      <w:r>
        <w:rPr>
          <w:rFonts w:ascii="华文中宋" w:hAnsi="华文中宋" w:eastAsia="华文中宋"/>
          <w:sz w:val="28"/>
          <w:szCs w:val="28"/>
        </w:rPr>
        <w:br w:type="page"/>
      </w:r>
    </w:p>
    <w:p>
      <w:pPr>
        <w:rPr>
          <w:rFonts w:ascii="Times New Roman" w:hAnsi="Times New Roman" w:eastAsia="黑体"/>
          <w:sz w:val="32"/>
        </w:rPr>
      </w:pPr>
      <w:r>
        <w:rPr>
          <w:rFonts w:hint="eastAsia" w:ascii="Times New Roman" w:hAnsi="Times New Roman" w:eastAsia="黑体"/>
          <w:sz w:val="32"/>
        </w:rPr>
        <w:t>附表3</w:t>
      </w:r>
    </w:p>
    <w:p>
      <w:pPr>
        <w:spacing w:before="144" w:beforeLines="60" w:after="144" w:afterLines="60" w:line="579" w:lineRule="exact"/>
        <w:jc w:val="center"/>
        <w:rPr>
          <w:rFonts w:ascii="方正小标宋_GBK" w:hAnsi="华文中宋" w:eastAsia="方正小标宋_GBK"/>
          <w:sz w:val="38"/>
          <w:szCs w:val="38"/>
        </w:rPr>
      </w:pPr>
      <w:r>
        <w:rPr>
          <w:rFonts w:hint="eastAsia" w:ascii="方正小标宋_GBK" w:hAnsi="华文中宋" w:eastAsia="方正小标宋_GBK"/>
          <w:sz w:val="38"/>
          <w:szCs w:val="38"/>
        </w:rPr>
        <w:t>绿色施工过程评价汇总表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41"/>
        <w:gridCol w:w="868"/>
        <w:gridCol w:w="2601"/>
        <w:gridCol w:w="208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028" w:type="pct"/>
            <w:tcBorders>
              <w:top w:val="single" w:color="auto" w:sz="8"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工程名称</w:t>
            </w:r>
          </w:p>
        </w:tc>
        <w:tc>
          <w:tcPr>
            <w:tcW w:w="1938" w:type="pct"/>
            <w:gridSpan w:val="2"/>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163" w:type="pct"/>
            <w:tcBorders>
              <w:top w:val="single" w:color="auto" w:sz="8"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工程所在地</w:t>
            </w:r>
          </w:p>
        </w:tc>
        <w:tc>
          <w:tcPr>
            <w:tcW w:w="872" w:type="pct"/>
            <w:tcBorders>
              <w:top w:val="single" w:color="auto" w:sz="8"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028"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申报单位名称</w:t>
            </w:r>
          </w:p>
        </w:tc>
        <w:tc>
          <w:tcPr>
            <w:tcW w:w="1938"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专家组长签字</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028" w:type="pct"/>
            <w:tcBorders>
              <w:top w:val="single" w:color="auto" w:sz="2" w:space="0"/>
              <w:left w:val="single" w:color="auto" w:sz="8"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推荐单位名称</w:t>
            </w:r>
          </w:p>
        </w:tc>
        <w:tc>
          <w:tcPr>
            <w:tcW w:w="1938" w:type="pct"/>
            <w:gridSpan w:val="2"/>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施工阶段</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评价要素</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要素评价得分</w:t>
            </w: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权重系数</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环境保护</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3</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节材与材料资源利用</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2</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节水与水资源利用</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2</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节能与能源利用</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2</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节地与土地资源保护</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0</w:t>
            </w:r>
            <w:r>
              <w:rPr>
                <w:rFonts w:ascii="Times New Roman" w:hAnsi="Times New Roman"/>
                <w:b/>
                <w:bCs/>
                <w:kern w:val="0"/>
                <w:sz w:val="24"/>
              </w:rPr>
              <w:t>.</w:t>
            </w:r>
            <w:r>
              <w:rPr>
                <w:rFonts w:ascii="Times New Roman" w:hAnsi="Times New Roman" w:eastAsia="仿宋_GB2312"/>
                <w:b/>
                <w:bCs/>
                <w:kern w:val="0"/>
                <w:sz w:val="24"/>
              </w:rPr>
              <w:t>1</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合计</w:t>
            </w:r>
          </w:p>
        </w:tc>
        <w:tc>
          <w:tcPr>
            <w:tcW w:w="1453" w:type="pct"/>
            <w:tcBorders>
              <w:top w:val="single" w:color="auto" w:sz="2" w:space="0"/>
              <w:left w:val="single" w:color="auto" w:sz="4"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kern w:val="0"/>
                <w:sz w:val="24"/>
              </w:rPr>
            </w:pPr>
          </w:p>
        </w:tc>
        <w:tc>
          <w:tcPr>
            <w:tcW w:w="1163" w:type="pct"/>
            <w:tcBorders>
              <w:top w:val="single" w:color="auto" w:sz="2" w:space="0"/>
              <w:left w:val="single" w:color="auto" w:sz="2" w:space="0"/>
              <w:bottom w:val="single" w:color="auto" w:sz="2" w:space="0"/>
              <w:right w:val="single" w:color="auto" w:sz="2"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1</w:t>
            </w:r>
            <w:r>
              <w:rPr>
                <w:rFonts w:ascii="Times New Roman" w:hAnsi="Times New Roman"/>
                <w:b/>
                <w:bCs/>
                <w:kern w:val="0"/>
                <w:sz w:val="24"/>
              </w:rPr>
              <w:t>.</w:t>
            </w:r>
            <w:r>
              <w:rPr>
                <w:rFonts w:ascii="Times New Roman" w:hAnsi="Times New Roman" w:eastAsia="仿宋_GB2312"/>
                <w:b/>
                <w:bCs/>
                <w:kern w:val="0"/>
                <w:sz w:val="24"/>
              </w:rPr>
              <w:t>0</w:t>
            </w:r>
          </w:p>
        </w:tc>
        <w:tc>
          <w:tcPr>
            <w:tcW w:w="872" w:type="pct"/>
            <w:tcBorders>
              <w:top w:val="single" w:color="auto" w:sz="2" w:space="0"/>
              <w:left w:val="single" w:color="auto" w:sz="2" w:space="0"/>
              <w:bottom w:val="single" w:color="auto" w:sz="2" w:space="0"/>
              <w:right w:val="single" w:color="auto" w:sz="8" w:space="0"/>
            </w:tcBorders>
            <w:vAlign w:val="center"/>
          </w:tcPr>
          <w:p>
            <w:pPr>
              <w:overflowPunct w:val="0"/>
              <w:spacing w:line="320" w:lineRule="exact"/>
              <w:jc w:val="center"/>
              <w:textAlignment w:val="center"/>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7" w:hRule="atLeast"/>
          <w:jc w:val="center"/>
        </w:trPr>
        <w:tc>
          <w:tcPr>
            <w:tcW w:w="1513" w:type="pct"/>
            <w:gridSpan w:val="2"/>
            <w:tcBorders>
              <w:top w:val="single" w:color="auto" w:sz="2" w:space="0"/>
              <w:left w:val="single" w:color="auto" w:sz="8" w:space="0"/>
              <w:bottom w:val="single" w:color="auto" w:sz="2"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评价结论</w:t>
            </w:r>
          </w:p>
        </w:tc>
        <w:tc>
          <w:tcPr>
            <w:tcW w:w="3487" w:type="pct"/>
            <w:gridSpan w:val="3"/>
            <w:tcBorders>
              <w:top w:val="single" w:color="auto" w:sz="2" w:space="0"/>
              <w:left w:val="single" w:color="auto" w:sz="4" w:space="0"/>
              <w:bottom w:val="single" w:color="auto" w:sz="2" w:space="0"/>
              <w:right w:val="single" w:color="auto" w:sz="8" w:space="0"/>
            </w:tcBorders>
            <w:vAlign w:val="center"/>
          </w:tcPr>
          <w:p>
            <w:pPr>
              <w:overflowPunct w:val="0"/>
              <w:spacing w:line="20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说明：权重后得分</w:t>
            </w:r>
            <w:r>
              <w:rPr>
                <w:rFonts w:hint="eastAsia" w:ascii="宋体" w:hAnsi="宋体"/>
                <w:kern w:val="0"/>
                <w:sz w:val="24"/>
              </w:rPr>
              <w:t>＝</w:t>
            </w:r>
            <w:r>
              <w:rPr>
                <w:rFonts w:ascii="Times New Roman" w:hAnsi="Times New Roman" w:eastAsia="仿宋_GB2312"/>
                <w:kern w:val="0"/>
                <w:sz w:val="24"/>
              </w:rPr>
              <w:t>要素评价得分</w:t>
            </w:r>
            <w:r>
              <w:rPr>
                <w:rFonts w:hint="eastAsia" w:ascii="宋体" w:hAnsi="宋体"/>
                <w:kern w:val="0"/>
                <w:sz w:val="24"/>
              </w:rPr>
              <w:t>×</w:t>
            </w:r>
            <w:r>
              <w:rPr>
                <w:rFonts w:ascii="Times New Roman" w:hAnsi="Times New Roman" w:eastAsia="仿宋_GB2312"/>
                <w:kern w:val="0"/>
                <w:sz w:val="24"/>
              </w:rPr>
              <w:t>权重系数</w:t>
            </w:r>
          </w:p>
          <w:p>
            <w:pPr>
              <w:overflowPunct w:val="0"/>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该项目过程检查得分</w:t>
            </w:r>
            <w:r>
              <w:rPr>
                <w:rFonts w:ascii="宋体" w:hAnsi="宋体"/>
                <w:kern w:val="0"/>
                <w:sz w:val="24"/>
              </w:rPr>
              <w:t>＝</w:t>
            </w: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kern w:val="0"/>
                <w:sz w:val="24"/>
              </w:rPr>
            </w:pPr>
          </w:p>
          <w:p>
            <w:pPr>
              <w:overflowPunct w:val="0"/>
              <w:spacing w:line="320" w:lineRule="exact"/>
              <w:textAlignment w:val="center"/>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jc w:val="center"/>
        </w:trPr>
        <w:tc>
          <w:tcPr>
            <w:tcW w:w="1513" w:type="pct"/>
            <w:gridSpan w:val="2"/>
            <w:tcBorders>
              <w:top w:val="single" w:color="auto" w:sz="2" w:space="0"/>
              <w:left w:val="single" w:color="auto" w:sz="8" w:space="0"/>
              <w:bottom w:val="single" w:color="auto" w:sz="8" w:space="0"/>
              <w:right w:val="single" w:color="auto" w:sz="4" w:space="0"/>
            </w:tcBorders>
            <w:vAlign w:val="center"/>
          </w:tcPr>
          <w:p>
            <w:pPr>
              <w:overflowPunct w:val="0"/>
              <w:spacing w:line="320" w:lineRule="exact"/>
              <w:jc w:val="center"/>
              <w:textAlignment w:val="center"/>
              <w:rPr>
                <w:rFonts w:ascii="Times New Roman" w:hAnsi="Times New Roman" w:eastAsia="仿宋_GB2312"/>
                <w:b/>
                <w:bCs/>
                <w:kern w:val="0"/>
                <w:sz w:val="24"/>
              </w:rPr>
            </w:pPr>
            <w:r>
              <w:rPr>
                <w:rFonts w:ascii="Times New Roman" w:hAnsi="Times New Roman" w:eastAsia="仿宋_GB2312"/>
                <w:sz w:val="24"/>
              </w:rPr>
              <w:t>专家签字</w:t>
            </w:r>
          </w:p>
        </w:tc>
        <w:tc>
          <w:tcPr>
            <w:tcW w:w="3487" w:type="pct"/>
            <w:gridSpan w:val="3"/>
            <w:tcBorders>
              <w:top w:val="single" w:color="auto" w:sz="2" w:space="0"/>
              <w:left w:val="single" w:color="auto" w:sz="4" w:space="0"/>
              <w:bottom w:val="single" w:color="auto" w:sz="8" w:space="0"/>
              <w:right w:val="single" w:color="auto" w:sz="8" w:space="0"/>
            </w:tcBorders>
            <w:vAlign w:val="center"/>
          </w:tcPr>
          <w:p>
            <w:pPr>
              <w:overflowPunct w:val="0"/>
              <w:spacing w:line="380" w:lineRule="exact"/>
              <w:jc w:val="center"/>
              <w:textAlignment w:val="center"/>
              <w:rPr>
                <w:rFonts w:ascii="Times New Roman" w:hAnsi="Times New Roman" w:eastAsia="仿宋_GB2312"/>
                <w:kern w:val="0"/>
                <w:sz w:val="24"/>
              </w:rPr>
            </w:pPr>
          </w:p>
          <w:p>
            <w:pPr>
              <w:overflowPunct w:val="0"/>
              <w:spacing w:line="380" w:lineRule="exact"/>
              <w:jc w:val="center"/>
              <w:textAlignment w:val="center"/>
              <w:rPr>
                <w:rFonts w:ascii="Times New Roman" w:hAnsi="Times New Roman" w:eastAsia="仿宋_GB2312"/>
                <w:kern w:val="0"/>
                <w:sz w:val="24"/>
              </w:rPr>
            </w:pPr>
          </w:p>
          <w:p>
            <w:pPr>
              <w:overflowPunct w:val="0"/>
              <w:spacing w:line="380" w:lineRule="exact"/>
              <w:jc w:val="center"/>
              <w:textAlignment w:val="center"/>
              <w:rPr>
                <w:rFonts w:ascii="Times New Roman" w:hAnsi="Times New Roman" w:eastAsia="仿宋_GB2312"/>
                <w:kern w:val="0"/>
                <w:sz w:val="24"/>
              </w:rPr>
            </w:pPr>
          </w:p>
          <w:p>
            <w:pPr>
              <w:overflowPunct w:val="0"/>
              <w:spacing w:line="320" w:lineRule="exact"/>
              <w:jc w:val="center"/>
              <w:textAlignment w:val="center"/>
              <w:rPr>
                <w:rFonts w:ascii="Times New Roman" w:hAnsi="Times New Roman" w:eastAsia="仿宋_GB2312"/>
                <w:kern w:val="0"/>
                <w:sz w:val="24"/>
              </w:rPr>
            </w:pPr>
          </w:p>
        </w:tc>
      </w:tr>
    </w:tbl>
    <w:p>
      <w:pPr>
        <w:widowControl/>
        <w:spacing w:line="20" w:lineRule="exact"/>
        <w:jc w:val="left"/>
        <w:rPr>
          <w:rFonts w:ascii="仿宋_GB2312" w:eastAsia="仿宋_GB2312"/>
          <w:sz w:val="32"/>
        </w:rPr>
      </w:pPr>
      <w:r>
        <w:rPr>
          <w:rFonts w:ascii="仿宋_GB2312" w:eastAsia="仿宋_GB2312"/>
          <w:sz w:val="32"/>
        </w:rPr>
        <w:br w:type="page"/>
      </w:r>
    </w:p>
    <w:p>
      <w:pPr>
        <w:spacing w:line="520" w:lineRule="exact"/>
        <w:textAlignment w:val="center"/>
        <w:rPr>
          <w:rFonts w:ascii="Times New Roman" w:hAnsi="Times New Roman" w:eastAsia="黑体"/>
          <w:sz w:val="32"/>
        </w:rPr>
      </w:pPr>
      <w:r>
        <w:rPr>
          <w:rFonts w:hint="eastAsia" w:ascii="Times New Roman" w:hAnsi="Times New Roman" w:eastAsia="黑体"/>
          <w:sz w:val="32"/>
        </w:rPr>
        <w:t>附录</w:t>
      </w:r>
      <w:r>
        <w:rPr>
          <w:rFonts w:ascii="Times New Roman" w:hAnsi="Times New Roman" w:eastAsia="黑体"/>
          <w:sz w:val="32"/>
        </w:rPr>
        <w:t>4</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jc w:val="center"/>
        <w:textAlignment w:val="center"/>
        <w:rPr>
          <w:rFonts w:hint="eastAsia" w:ascii="方正小标宋_GBK" w:hAnsi="宋体" w:eastAsia="方正小标宋_GBK" w:cs="宋体"/>
          <w:bCs/>
          <w:snapToGrid w:val="0"/>
          <w:spacing w:val="-5"/>
          <w:kern w:val="0"/>
          <w:sz w:val="56"/>
          <w:szCs w:val="56"/>
          <w:lang w:eastAsia="zh-CN"/>
        </w:rPr>
      </w:pPr>
      <w:r>
        <w:rPr>
          <w:rFonts w:hint="eastAsia" w:ascii="方正小标宋_GBK" w:hAnsi="宋体" w:eastAsia="方正小标宋_GBK" w:cs="宋体"/>
          <w:bCs/>
          <w:snapToGrid w:val="0"/>
          <w:spacing w:val="-5"/>
          <w:kern w:val="0"/>
          <w:sz w:val="56"/>
          <w:szCs w:val="56"/>
        </w:rPr>
        <w:t>湖北省市政工程</w:t>
      </w:r>
      <w:r>
        <w:rPr>
          <w:rFonts w:ascii="方正小标宋_GBK" w:hAnsi="宋体" w:eastAsia="方正小标宋_GBK" w:cs="宋体"/>
          <w:bCs/>
          <w:snapToGrid w:val="0"/>
          <w:spacing w:val="-5"/>
          <w:kern w:val="0"/>
          <w:sz w:val="56"/>
          <w:szCs w:val="56"/>
        </w:rPr>
        <w:t>绿色施工</w:t>
      </w:r>
      <w:r>
        <w:rPr>
          <w:rFonts w:hint="eastAsia" w:ascii="方正小标宋_GBK" w:hAnsi="宋体" w:eastAsia="方正小标宋_GBK" w:cs="宋体"/>
          <w:bCs/>
          <w:snapToGrid w:val="0"/>
          <w:spacing w:val="-5"/>
          <w:kern w:val="0"/>
          <w:sz w:val="56"/>
          <w:szCs w:val="56"/>
        </w:rPr>
        <w:t>示范工程</w:t>
      </w:r>
    </w:p>
    <w:p>
      <w:pPr>
        <w:spacing w:line="700" w:lineRule="exact"/>
        <w:jc w:val="center"/>
        <w:textAlignment w:val="center"/>
        <w:rPr>
          <w:rFonts w:ascii="方正小标宋_GBK" w:hAnsi="宋体" w:eastAsia="方正小标宋_GBK" w:cs="宋体"/>
          <w:bCs/>
          <w:snapToGrid w:val="0"/>
          <w:spacing w:val="-5"/>
          <w:kern w:val="0"/>
          <w:sz w:val="56"/>
          <w:szCs w:val="56"/>
        </w:rPr>
      </w:pPr>
      <w:r>
        <w:rPr>
          <w:rFonts w:hint="eastAsia" w:ascii="方正小标宋_GBK" w:hAnsi="宋体" w:eastAsia="方正小标宋_GBK" w:cs="宋体"/>
          <w:bCs/>
          <w:snapToGrid w:val="0"/>
          <w:spacing w:val="-5"/>
          <w:kern w:val="0"/>
          <w:sz w:val="56"/>
          <w:szCs w:val="56"/>
        </w:rPr>
        <w:t>验收评价申请表</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800" w:lineRule="exact"/>
        <w:ind w:firstLine="1280" w:firstLineChars="400"/>
        <w:textAlignment w:val="center"/>
        <w:rPr>
          <w:rFonts w:ascii="Times New Roman" w:hAnsi="Times New Roman" w:eastAsia="仿宋_GB2312"/>
          <w:sz w:val="32"/>
          <w:szCs w:val="32"/>
        </w:rPr>
      </w:pPr>
      <w:r>
        <w:rPr>
          <w:rFonts w:hint="eastAsia" w:ascii="Times New Roman" w:hAnsi="Times New Roman" w:eastAsia="仿宋_GB2312"/>
          <w:sz w:val="32"/>
          <w:szCs w:val="32"/>
        </w:rPr>
        <w:t>工程名称</w:t>
      </w:r>
      <w:r>
        <w:rPr>
          <w:rFonts w:ascii="Times New Roman" w:hAnsi="Times New Roman" w:eastAsia="仿宋_GB2312"/>
          <w:sz w:val="32"/>
          <w:szCs w:val="32"/>
        </w:rPr>
        <w:t>：</w:t>
      </w:r>
      <w:r>
        <w:rPr>
          <w:rFonts w:ascii="Times New Roman" w:hAnsi="Times New Roman" w:eastAsia="仿宋_GB2312"/>
          <w:sz w:val="32"/>
          <w:szCs w:val="32"/>
          <w:u w:val="single"/>
        </w:rPr>
        <w:t>　　　　　　　　　　　　　</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申报单位：</w:t>
      </w:r>
      <w:r>
        <w:rPr>
          <w:rFonts w:ascii="Times New Roman" w:hAnsi="Times New Roman" w:eastAsia="仿宋_GB2312"/>
          <w:sz w:val="32"/>
          <w:szCs w:val="32"/>
          <w:u w:val="single"/>
        </w:rPr>
        <w:t>　　　　　　　　　　　　　</w:t>
      </w:r>
      <w:r>
        <w:rPr>
          <w:rFonts w:ascii="Times New Roman" w:hAnsi="Times New Roman" w:eastAsia="仿宋_GB2312"/>
          <w:sz w:val="32"/>
          <w:szCs w:val="32"/>
        </w:rPr>
        <w:t>（公章）</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申请时间：</w:t>
      </w:r>
      <w:r>
        <w:rPr>
          <w:rFonts w:ascii="Times New Roman" w:hAnsi="Times New Roman" w:eastAsia="仿宋_GB2312"/>
          <w:sz w:val="32"/>
          <w:szCs w:val="32"/>
          <w:u w:val="single"/>
        </w:rPr>
        <w:t>　　　　　　</w:t>
      </w:r>
      <w:r>
        <w:rPr>
          <w:rFonts w:hint="eastAsia"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79" w:lineRule="exact"/>
        <w:jc w:val="center"/>
        <w:textAlignment w:val="center"/>
        <w:rPr>
          <w:rFonts w:ascii="楷体_GB2312" w:hAnsi="Times New Roman" w:eastAsia="楷体_GB2312"/>
          <w:snapToGrid w:val="0"/>
          <w:kern w:val="0"/>
          <w:sz w:val="32"/>
          <w:szCs w:val="32"/>
        </w:rPr>
        <w:sectPr>
          <w:footerReference r:id="rId6" w:type="default"/>
          <w:pgSz w:w="11900" w:h="16830"/>
          <w:pgMar w:top="1871" w:right="1531" w:bottom="2211" w:left="1531" w:header="851" w:footer="1531" w:gutter="0"/>
          <w:cols w:space="720" w:num="1"/>
          <w:docGrid w:type="lines" w:linePitch="0" w:charSpace="0"/>
        </w:sectPr>
      </w:pPr>
      <w:r>
        <w:rPr>
          <w:rFonts w:hint="eastAsia" w:ascii="楷体_GB2312" w:hAnsi="Times New Roman" w:eastAsia="楷体_GB2312"/>
          <w:sz w:val="32"/>
          <w:szCs w:val="32"/>
        </w:rPr>
        <w:t>湖北省市政工程协会编制</w:t>
      </w: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47"/>
        <w:gridCol w:w="2292"/>
        <w:gridCol w:w="214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黑体" w:hAnsi="黑体" w:eastAsia="黑体"/>
                <w:sz w:val="24"/>
              </w:rPr>
            </w:pPr>
            <w:r>
              <w:rPr>
                <w:rFonts w:ascii="黑体" w:hAnsi="黑体" w:eastAsia="黑体"/>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项目名称</w:t>
            </w:r>
          </w:p>
        </w:tc>
        <w:tc>
          <w:tcPr>
            <w:tcW w:w="6701" w:type="dxa"/>
            <w:gridSpan w:val="3"/>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项目类型</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项目所在地</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工程造价</w:t>
            </w:r>
          </w:p>
        </w:tc>
        <w:tc>
          <w:tcPr>
            <w:tcW w:w="2292" w:type="dxa"/>
            <w:vAlign w:val="center"/>
          </w:tcPr>
          <w:p>
            <w:pPr>
              <w:wordWrap w:val="0"/>
              <w:overflowPunct w:val="0"/>
              <w:spacing w:line="320" w:lineRule="exact"/>
              <w:jc w:val="right"/>
              <w:textAlignment w:val="center"/>
              <w:rPr>
                <w:rFonts w:ascii="Times New Roman" w:hAnsi="Times New Roman" w:eastAsia="仿宋_GB2312"/>
                <w:sz w:val="24"/>
              </w:rPr>
            </w:pPr>
            <w:r>
              <w:rPr>
                <w:rFonts w:ascii="Times New Roman" w:hAnsi="Times New Roman" w:eastAsia="仿宋_GB2312"/>
                <w:sz w:val="24"/>
              </w:rPr>
              <w:t>万元</w:t>
            </w:r>
            <w:r>
              <w:rPr>
                <w:rFonts w:hint="eastAsia" w:ascii="Times New Roman" w:hAnsi="Times New Roman" w:eastAsia="仿宋_GB2312"/>
                <w:sz w:val="24"/>
              </w:rPr>
              <w:t>　</w:t>
            </w: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建设规模</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开工日期</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竣工日期</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联系人</w:t>
            </w:r>
          </w:p>
        </w:tc>
        <w:tc>
          <w:tcPr>
            <w:tcW w:w="2292" w:type="dxa"/>
            <w:vAlign w:val="center"/>
          </w:tcPr>
          <w:p>
            <w:pPr>
              <w:overflowPunct w:val="0"/>
              <w:spacing w:line="320" w:lineRule="exact"/>
              <w:jc w:val="center"/>
              <w:textAlignment w:val="center"/>
              <w:rPr>
                <w:rFonts w:ascii="Times New Roman" w:hAnsi="Times New Roman" w:eastAsia="仿宋_GB2312"/>
                <w:sz w:val="24"/>
              </w:rPr>
            </w:pPr>
          </w:p>
        </w:tc>
        <w:tc>
          <w:tcPr>
            <w:tcW w:w="2140"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联系电话</w:t>
            </w:r>
          </w:p>
        </w:tc>
        <w:tc>
          <w:tcPr>
            <w:tcW w:w="2269" w:type="dxa"/>
            <w:vAlign w:val="center"/>
          </w:tcPr>
          <w:p>
            <w:pPr>
              <w:overflowPunct w:val="0"/>
              <w:spacing w:line="320" w:lineRule="exact"/>
              <w:jc w:val="center"/>
              <w:textAlignment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2247" w:type="dxa"/>
            <w:vAlign w:val="center"/>
          </w:tcPr>
          <w:p>
            <w:pPr>
              <w:overflowPunct w:val="0"/>
              <w:spacing w:line="320" w:lineRule="exact"/>
              <w:jc w:val="center"/>
              <w:textAlignment w:val="center"/>
              <w:rPr>
                <w:rFonts w:ascii="Times New Roman" w:hAnsi="Times New Roman" w:eastAsia="仿宋_GB2312"/>
                <w:sz w:val="24"/>
              </w:rPr>
            </w:pPr>
            <w:r>
              <w:rPr>
                <w:rFonts w:ascii="Times New Roman" w:hAnsi="Times New Roman" w:eastAsia="仿宋_GB2312"/>
                <w:sz w:val="24"/>
              </w:rPr>
              <w:t>施工单位</w:t>
            </w:r>
          </w:p>
        </w:tc>
        <w:tc>
          <w:tcPr>
            <w:tcW w:w="6701" w:type="dxa"/>
            <w:gridSpan w:val="3"/>
            <w:vAlign w:val="center"/>
          </w:tcPr>
          <w:p>
            <w:pPr>
              <w:wordWrap w:val="0"/>
              <w:overflowPunct w:val="0"/>
              <w:spacing w:line="320" w:lineRule="exact"/>
              <w:jc w:val="right"/>
              <w:textAlignment w:val="center"/>
              <w:rPr>
                <w:rFonts w:ascii="Times New Roman" w:hAnsi="Times New Roman" w:eastAsia="仿宋_GB2312"/>
                <w:sz w:val="24"/>
              </w:rPr>
            </w:pPr>
            <w:r>
              <w:rPr>
                <w:rFonts w:ascii="Times New Roman" w:hAnsi="Times New Roman" w:eastAsia="仿宋_GB2312"/>
                <w:sz w:val="24"/>
              </w:rPr>
              <w:t>（盖章）</w:t>
            </w:r>
            <w:r>
              <w:rPr>
                <w:rFonts w:hint="eastAsia" w:ascii="Times New Roman" w:hAnsi="Times New Roman" w:eastAsia="仿宋_GB2312"/>
                <w:sz w:val="24"/>
              </w:rPr>
              <w:t>　</w:t>
            </w:r>
            <w:r>
              <w:rPr>
                <w:rFonts w:ascii="Times New Roman" w:hAnsi="Times New Roman"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黑体" w:hAnsi="黑体" w:eastAsia="黑体"/>
                <w:sz w:val="24"/>
              </w:rPr>
            </w:pPr>
            <w:r>
              <w:rPr>
                <w:rFonts w:ascii="黑体" w:hAnsi="黑体" w:eastAsia="黑体"/>
                <w:sz w:val="24"/>
              </w:rPr>
              <w:t>工程概况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jc w:val="center"/>
              <w:textAlignment w:val="center"/>
              <w:rPr>
                <w:rFonts w:ascii="Times New Roman" w:hAnsi="Times New Roman" w:eastAsia="仿宋_GB2312"/>
                <w:bCs/>
                <w:sz w:val="24"/>
              </w:rPr>
            </w:pPr>
          </w:p>
          <w:p>
            <w:pPr>
              <w:tabs>
                <w:tab w:val="left" w:pos="1800"/>
              </w:tabs>
              <w:overflowPunct w:val="0"/>
              <w:spacing w:line="320" w:lineRule="exact"/>
              <w:textAlignment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黑体" w:hAnsi="黑体" w:eastAsia="黑体"/>
                <w:bCs/>
                <w:sz w:val="24"/>
              </w:rPr>
            </w:pPr>
            <w:r>
              <w:rPr>
                <w:rFonts w:ascii="黑体" w:hAnsi="黑体" w:eastAsia="黑体"/>
                <w:bCs/>
                <w:sz w:val="24"/>
              </w:rPr>
              <w:t>关键技术及创新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（页面不够可另附）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黑体" w:hAnsi="黑体" w:eastAsia="黑体"/>
                <w:bCs/>
                <w:sz w:val="24"/>
              </w:rPr>
            </w:pPr>
            <w:bookmarkStart w:id="5" w:name="_Hlk102035915"/>
            <w:r>
              <w:rPr>
                <w:rFonts w:ascii="黑体" w:hAnsi="黑体" w:eastAsia="黑体"/>
                <w:bCs/>
                <w:sz w:val="24"/>
              </w:rPr>
              <w:t>绿色施工科技成果（认证）情况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91" w:hRule="exact"/>
          <w:jc w:val="center"/>
        </w:trPr>
        <w:tc>
          <w:tcPr>
            <w:tcW w:w="8948" w:type="dxa"/>
            <w:gridSpan w:val="4"/>
            <w:vAlign w:val="center"/>
          </w:tcPr>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sz w:val="24"/>
              </w:rPr>
            </w:pPr>
          </w:p>
          <w:p>
            <w:pPr>
              <w:overflowPunct w:val="0"/>
              <w:spacing w:line="320" w:lineRule="exact"/>
              <w:jc w:val="center"/>
              <w:textAlignment w:val="center"/>
              <w:rPr>
                <w:rFonts w:ascii="Times New Roman" w:hAnsi="Times New Roman" w:eastAsia="仿宋_GB2312"/>
                <w:bCs/>
                <w:sz w:val="24"/>
              </w:rPr>
            </w:pPr>
          </w:p>
          <w:p>
            <w:pPr>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（页面不够可另附）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0" w:lineRule="exact"/>
              <w:jc w:val="center"/>
              <w:textAlignment w:val="center"/>
              <w:rPr>
                <w:rFonts w:ascii="黑体" w:hAnsi="黑体" w:eastAsia="黑体"/>
                <w:bCs/>
                <w:sz w:val="24"/>
              </w:rPr>
            </w:pPr>
            <w:r>
              <w:rPr>
                <w:rFonts w:ascii="黑体" w:hAnsi="黑体" w:eastAsia="黑体"/>
                <w:bCs/>
                <w:sz w:val="24"/>
              </w:rPr>
              <w:t>绿色施工效果（经济效益、社会效益、环境效益）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line="324" w:lineRule="exact"/>
              <w:textAlignment w:val="center"/>
              <w:rPr>
                <w:rFonts w:ascii="Times New Roman" w:hAnsi="Times New Roman" w:eastAsia="仿宋_GB2312"/>
                <w:bCs/>
                <w:sz w:val="24"/>
              </w:rPr>
            </w:pPr>
          </w:p>
          <w:p>
            <w:pPr>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（页面不够可另附）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before="120" w:beforeLines="50" w:line="320" w:lineRule="exact"/>
              <w:jc w:val="left"/>
              <w:textAlignment w:val="center"/>
              <w:rPr>
                <w:rFonts w:ascii="Times New Roman" w:hAnsi="Times New Roman" w:eastAsia="仿宋_GB2312"/>
                <w:bCs/>
                <w:sz w:val="24"/>
              </w:rPr>
            </w:pPr>
            <w:r>
              <w:rPr>
                <w:rFonts w:ascii="Times New Roman" w:hAnsi="Times New Roman" w:eastAsia="仿宋_GB2312"/>
                <w:bCs/>
                <w:sz w:val="24"/>
              </w:rPr>
              <w:t>建设单位评价意见：</w:t>
            </w: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wordWrap w:val="0"/>
              <w:overflowPunct w:val="0"/>
              <w:spacing w:line="320" w:lineRule="exact"/>
              <w:jc w:val="right"/>
              <w:textAlignment w:val="center"/>
              <w:rPr>
                <w:rFonts w:ascii="Times New Roman" w:hAnsi="Times New Roman" w:eastAsia="仿宋_GB2312"/>
                <w:bCs/>
                <w:sz w:val="24"/>
              </w:rPr>
            </w:pPr>
            <w:r>
              <w:rPr>
                <w:rFonts w:ascii="Times New Roman" w:hAnsi="Times New Roman" w:eastAsia="仿宋_GB2312"/>
                <w:bCs/>
                <w:sz w:val="24"/>
              </w:rPr>
              <w:t>（盖章）</w:t>
            </w:r>
            <w:r>
              <w:rPr>
                <w:rFonts w:hint="eastAsia" w:ascii="Times New Roman" w:hAnsi="Times New Roman" w:eastAsia="仿宋_GB2312"/>
                <w:bCs/>
                <w:sz w:val="24"/>
              </w:rPr>
              <w:t>　　</w:t>
            </w:r>
            <w:r>
              <w:rPr>
                <w:rFonts w:ascii="Times New Roman" w:hAnsi="Times New Roman" w:eastAsia="仿宋_GB2312"/>
                <w:bCs/>
                <w:sz w:val="24"/>
              </w:rPr>
              <w:t>　　　</w:t>
            </w:r>
          </w:p>
          <w:p>
            <w:pPr>
              <w:wordWrap w:val="0"/>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年</w:t>
            </w:r>
            <w:r>
              <w:rPr>
                <w:rFonts w:hint="eastAsia" w:ascii="Times New Roman" w:hAnsi="Times New Roman" w:eastAsia="仿宋_GB2312"/>
                <w:bCs/>
                <w:sz w:val="24"/>
              </w:rPr>
              <w:t>　</w:t>
            </w:r>
            <w:r>
              <w:rPr>
                <w:rFonts w:ascii="Times New Roman" w:hAnsi="Times New Roman" w:eastAsia="仿宋_GB2312"/>
                <w:bCs/>
                <w:sz w:val="24"/>
              </w:rPr>
              <w:t>月</w:t>
            </w:r>
            <w:r>
              <w:rPr>
                <w:rFonts w:hint="eastAsia" w:ascii="Times New Roman" w:hAnsi="Times New Roman" w:eastAsia="仿宋_GB2312"/>
                <w:bCs/>
                <w:sz w:val="24"/>
              </w:rPr>
              <w:t>　</w:t>
            </w:r>
            <w:r>
              <w:rPr>
                <w:rFonts w:ascii="Times New Roman" w:hAnsi="Times New Roman" w:eastAsia="仿宋_GB2312"/>
                <w:bCs/>
                <w:sz w:val="24"/>
              </w:rPr>
              <w:t>日</w:t>
            </w:r>
            <w:r>
              <w:rPr>
                <w:rFonts w:hint="eastAsia" w:ascii="Times New Roman" w:hAnsi="Times New Roman" w:eastAsia="仿宋_GB2312"/>
                <w:bCs/>
                <w:sz w:val="24"/>
              </w:rPr>
              <w:t>　</w:t>
            </w:r>
            <w:r>
              <w:rPr>
                <w:rFonts w:ascii="Times New Roman" w:hAnsi="Times New Roman"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before="120" w:beforeLines="50" w:line="320" w:lineRule="exact"/>
              <w:jc w:val="left"/>
              <w:textAlignment w:val="center"/>
              <w:rPr>
                <w:rFonts w:ascii="Times New Roman" w:hAnsi="Times New Roman" w:eastAsia="仿宋_GB2312"/>
                <w:bCs/>
                <w:sz w:val="24"/>
              </w:rPr>
            </w:pPr>
            <w:r>
              <w:rPr>
                <w:rFonts w:ascii="Times New Roman" w:hAnsi="Times New Roman" w:eastAsia="仿宋_GB2312"/>
                <w:bCs/>
                <w:sz w:val="24"/>
              </w:rPr>
              <w:t>勘察设计单位评价意见：</w:t>
            </w: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wordWrap w:val="0"/>
              <w:overflowPunct w:val="0"/>
              <w:spacing w:line="320" w:lineRule="exact"/>
              <w:jc w:val="right"/>
              <w:textAlignment w:val="center"/>
              <w:rPr>
                <w:rFonts w:ascii="Times New Roman" w:hAnsi="Times New Roman" w:eastAsia="仿宋_GB2312"/>
                <w:bCs/>
                <w:sz w:val="24"/>
              </w:rPr>
            </w:pPr>
            <w:r>
              <w:rPr>
                <w:rFonts w:ascii="Times New Roman" w:hAnsi="Times New Roman" w:eastAsia="仿宋_GB2312"/>
                <w:bCs/>
                <w:sz w:val="24"/>
              </w:rPr>
              <w:t>（盖章）</w:t>
            </w:r>
            <w:r>
              <w:rPr>
                <w:rFonts w:hint="eastAsia" w:ascii="Times New Roman" w:hAnsi="Times New Roman" w:eastAsia="仿宋_GB2312"/>
                <w:bCs/>
                <w:sz w:val="24"/>
              </w:rPr>
              <w:t>　　</w:t>
            </w:r>
            <w:r>
              <w:rPr>
                <w:rFonts w:ascii="Times New Roman" w:hAnsi="Times New Roman" w:eastAsia="仿宋_GB2312"/>
                <w:bCs/>
                <w:sz w:val="24"/>
              </w:rPr>
              <w:t>　　　</w:t>
            </w:r>
          </w:p>
          <w:p>
            <w:pPr>
              <w:wordWrap w:val="0"/>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年</w:t>
            </w:r>
            <w:r>
              <w:rPr>
                <w:rFonts w:hint="eastAsia" w:ascii="Times New Roman" w:hAnsi="Times New Roman" w:eastAsia="仿宋_GB2312"/>
                <w:bCs/>
                <w:sz w:val="24"/>
              </w:rPr>
              <w:t>　</w:t>
            </w:r>
            <w:r>
              <w:rPr>
                <w:rFonts w:ascii="Times New Roman" w:hAnsi="Times New Roman" w:eastAsia="仿宋_GB2312"/>
                <w:bCs/>
                <w:sz w:val="24"/>
              </w:rPr>
              <w:t>月</w:t>
            </w:r>
            <w:r>
              <w:rPr>
                <w:rFonts w:hint="eastAsia" w:ascii="Times New Roman" w:hAnsi="Times New Roman" w:eastAsia="仿宋_GB2312"/>
                <w:bCs/>
                <w:sz w:val="24"/>
              </w:rPr>
              <w:t>　</w:t>
            </w:r>
            <w:r>
              <w:rPr>
                <w:rFonts w:ascii="Times New Roman" w:hAnsi="Times New Roman" w:eastAsia="仿宋_GB2312"/>
                <w:bCs/>
                <w:sz w:val="24"/>
              </w:rPr>
              <w:t>日</w:t>
            </w:r>
            <w:r>
              <w:rPr>
                <w:rFonts w:hint="eastAsia" w:ascii="Times New Roman" w:hAnsi="Times New Roman" w:eastAsia="仿宋_GB2312"/>
                <w:bCs/>
                <w:sz w:val="24"/>
              </w:rPr>
              <w:t>　</w:t>
            </w:r>
            <w:r>
              <w:rPr>
                <w:rFonts w:ascii="Times New Roman" w:hAnsi="Times New Roman"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before="120" w:beforeLines="50" w:line="320" w:lineRule="exact"/>
              <w:jc w:val="left"/>
              <w:textAlignment w:val="center"/>
              <w:rPr>
                <w:rFonts w:ascii="Times New Roman" w:hAnsi="Times New Roman" w:eastAsia="仿宋_GB2312"/>
                <w:bCs/>
                <w:sz w:val="24"/>
              </w:rPr>
            </w:pPr>
            <w:r>
              <w:rPr>
                <w:rFonts w:ascii="Times New Roman" w:hAnsi="Times New Roman" w:eastAsia="仿宋_GB2312"/>
                <w:bCs/>
                <w:sz w:val="24"/>
              </w:rPr>
              <w:t>监理单位评价意见：</w:t>
            </w:r>
          </w:p>
          <w:p>
            <w:pPr>
              <w:wordWrap w:val="0"/>
              <w:overflowPunct w:val="0"/>
              <w:spacing w:line="320" w:lineRule="exact"/>
              <w:jc w:val="right"/>
              <w:textAlignment w:val="center"/>
              <w:rPr>
                <w:rFonts w:ascii="Times New Roman" w:hAnsi="Times New Roman" w:eastAsia="仿宋_GB2312"/>
                <w:bCs/>
                <w:sz w:val="24"/>
              </w:rPr>
            </w:pPr>
          </w:p>
          <w:p>
            <w:pPr>
              <w:overflowPunct w:val="0"/>
              <w:spacing w:line="320" w:lineRule="exact"/>
              <w:jc w:val="right"/>
              <w:textAlignment w:val="center"/>
              <w:rPr>
                <w:rFonts w:ascii="Times New Roman" w:hAnsi="Times New Roman" w:eastAsia="仿宋_GB2312"/>
                <w:bCs/>
                <w:sz w:val="24"/>
              </w:rPr>
            </w:pPr>
          </w:p>
          <w:p>
            <w:pPr>
              <w:overflowPunct w:val="0"/>
              <w:spacing w:line="320" w:lineRule="exact"/>
              <w:jc w:val="right"/>
              <w:textAlignment w:val="center"/>
              <w:rPr>
                <w:rFonts w:ascii="Times New Roman" w:hAnsi="Times New Roman" w:eastAsia="仿宋_GB2312"/>
                <w:bCs/>
                <w:sz w:val="24"/>
              </w:rPr>
            </w:pPr>
          </w:p>
          <w:p>
            <w:pPr>
              <w:overflowPunct w:val="0"/>
              <w:spacing w:line="320" w:lineRule="exact"/>
              <w:ind w:right="1200"/>
              <w:jc w:val="right"/>
              <w:textAlignment w:val="center"/>
              <w:rPr>
                <w:rFonts w:ascii="Times New Roman" w:hAnsi="Times New Roman" w:eastAsia="仿宋_GB2312"/>
                <w:bCs/>
                <w:sz w:val="24"/>
              </w:rPr>
            </w:pPr>
            <w:r>
              <w:rPr>
                <w:rFonts w:ascii="Times New Roman" w:hAnsi="Times New Roman" w:eastAsia="仿宋_GB2312"/>
                <w:bCs/>
                <w:sz w:val="24"/>
              </w:rPr>
              <w:t>（盖章）</w:t>
            </w:r>
            <w:r>
              <w:rPr>
                <w:rFonts w:hint="eastAsia" w:ascii="Times New Roman" w:hAnsi="Times New Roman" w:eastAsia="仿宋_GB2312"/>
                <w:bCs/>
                <w:sz w:val="24"/>
              </w:rPr>
              <w:t>　　</w:t>
            </w:r>
            <w:r>
              <w:rPr>
                <w:rFonts w:ascii="Times New Roman" w:hAnsi="Times New Roman" w:eastAsia="仿宋_GB2312"/>
                <w:bCs/>
                <w:sz w:val="24"/>
              </w:rPr>
              <w:t>　　　</w:t>
            </w:r>
          </w:p>
          <w:p>
            <w:pPr>
              <w:wordWrap w:val="0"/>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年</w:t>
            </w:r>
            <w:r>
              <w:rPr>
                <w:rFonts w:hint="eastAsia" w:ascii="Times New Roman" w:hAnsi="Times New Roman" w:eastAsia="仿宋_GB2312"/>
                <w:bCs/>
                <w:sz w:val="24"/>
              </w:rPr>
              <w:t>　</w:t>
            </w:r>
            <w:r>
              <w:rPr>
                <w:rFonts w:ascii="Times New Roman" w:hAnsi="Times New Roman" w:eastAsia="仿宋_GB2312"/>
                <w:bCs/>
                <w:sz w:val="24"/>
              </w:rPr>
              <w:t>月</w:t>
            </w:r>
            <w:r>
              <w:rPr>
                <w:rFonts w:hint="eastAsia" w:ascii="Times New Roman" w:hAnsi="Times New Roman" w:eastAsia="仿宋_GB2312"/>
                <w:bCs/>
                <w:sz w:val="24"/>
              </w:rPr>
              <w:t>　</w:t>
            </w:r>
            <w:r>
              <w:rPr>
                <w:rFonts w:ascii="Times New Roman" w:hAnsi="Times New Roman" w:eastAsia="仿宋_GB2312"/>
                <w:bCs/>
                <w:sz w:val="24"/>
              </w:rPr>
              <w:t>日</w:t>
            </w:r>
            <w:r>
              <w:rPr>
                <w:rFonts w:hint="eastAsia" w:ascii="Times New Roman" w:hAnsi="Times New Roman" w:eastAsia="仿宋_GB2312"/>
                <w:bCs/>
                <w:sz w:val="24"/>
              </w:rPr>
              <w:t>　</w:t>
            </w:r>
            <w:r>
              <w:rPr>
                <w:rFonts w:ascii="Times New Roman" w:hAnsi="Times New Roman"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948" w:type="dxa"/>
            <w:gridSpan w:val="4"/>
            <w:vAlign w:val="center"/>
          </w:tcPr>
          <w:p>
            <w:pPr>
              <w:overflowPunct w:val="0"/>
              <w:spacing w:before="120" w:beforeLines="50" w:line="320" w:lineRule="exact"/>
              <w:jc w:val="left"/>
              <w:textAlignment w:val="center"/>
              <w:rPr>
                <w:rFonts w:ascii="Times New Roman" w:hAnsi="Times New Roman" w:eastAsia="仿宋_GB2312"/>
                <w:bCs/>
                <w:sz w:val="24"/>
              </w:rPr>
            </w:pPr>
            <w:r>
              <w:rPr>
                <w:rFonts w:ascii="Times New Roman" w:hAnsi="Times New Roman" w:eastAsia="仿宋_GB2312"/>
                <w:bCs/>
                <w:sz w:val="24"/>
              </w:rPr>
              <w:t>推荐单位评价意见：</w:t>
            </w: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overflowPunct w:val="0"/>
              <w:spacing w:line="320" w:lineRule="exact"/>
              <w:jc w:val="left"/>
              <w:textAlignment w:val="center"/>
              <w:rPr>
                <w:rFonts w:ascii="Times New Roman" w:hAnsi="Times New Roman" w:eastAsia="仿宋_GB2312"/>
                <w:bCs/>
                <w:sz w:val="24"/>
              </w:rPr>
            </w:pPr>
          </w:p>
          <w:p>
            <w:pPr>
              <w:wordWrap w:val="0"/>
              <w:overflowPunct w:val="0"/>
              <w:spacing w:line="320" w:lineRule="exact"/>
              <w:jc w:val="right"/>
              <w:textAlignment w:val="center"/>
              <w:rPr>
                <w:rFonts w:ascii="Times New Roman" w:hAnsi="Times New Roman" w:eastAsia="仿宋_GB2312"/>
                <w:bCs/>
                <w:sz w:val="24"/>
              </w:rPr>
            </w:pPr>
            <w:r>
              <w:rPr>
                <w:rFonts w:ascii="Times New Roman" w:hAnsi="Times New Roman" w:eastAsia="仿宋_GB2312"/>
                <w:bCs/>
                <w:sz w:val="24"/>
              </w:rPr>
              <w:t>（盖章）</w:t>
            </w:r>
            <w:r>
              <w:rPr>
                <w:rFonts w:hint="eastAsia" w:ascii="Times New Roman" w:hAnsi="Times New Roman" w:eastAsia="仿宋_GB2312"/>
                <w:bCs/>
                <w:sz w:val="24"/>
              </w:rPr>
              <w:t>　　</w:t>
            </w:r>
            <w:r>
              <w:rPr>
                <w:rFonts w:ascii="Times New Roman" w:hAnsi="Times New Roman" w:eastAsia="仿宋_GB2312"/>
                <w:bCs/>
                <w:sz w:val="24"/>
              </w:rPr>
              <w:t>　　　</w:t>
            </w:r>
          </w:p>
          <w:p>
            <w:pPr>
              <w:wordWrap w:val="0"/>
              <w:overflowPunct w:val="0"/>
              <w:spacing w:after="120" w:afterLines="50" w:line="320" w:lineRule="exact"/>
              <w:jc w:val="right"/>
              <w:textAlignment w:val="center"/>
              <w:rPr>
                <w:rFonts w:ascii="Times New Roman" w:hAnsi="Times New Roman" w:eastAsia="仿宋_GB2312"/>
                <w:bCs/>
                <w:sz w:val="24"/>
              </w:rPr>
            </w:pPr>
            <w:r>
              <w:rPr>
                <w:rFonts w:ascii="Times New Roman" w:hAnsi="Times New Roman" w:eastAsia="仿宋_GB2312"/>
                <w:bCs/>
                <w:sz w:val="24"/>
              </w:rPr>
              <w:t>年</w:t>
            </w:r>
            <w:r>
              <w:rPr>
                <w:rFonts w:hint="eastAsia" w:ascii="Times New Roman" w:hAnsi="Times New Roman" w:eastAsia="仿宋_GB2312"/>
                <w:bCs/>
                <w:sz w:val="24"/>
              </w:rPr>
              <w:t>　</w:t>
            </w:r>
            <w:r>
              <w:rPr>
                <w:rFonts w:ascii="Times New Roman" w:hAnsi="Times New Roman" w:eastAsia="仿宋_GB2312"/>
                <w:bCs/>
                <w:sz w:val="24"/>
              </w:rPr>
              <w:t>月</w:t>
            </w:r>
            <w:r>
              <w:rPr>
                <w:rFonts w:hint="eastAsia" w:ascii="Times New Roman" w:hAnsi="Times New Roman" w:eastAsia="仿宋_GB2312"/>
                <w:bCs/>
                <w:sz w:val="24"/>
              </w:rPr>
              <w:t>　</w:t>
            </w:r>
            <w:r>
              <w:rPr>
                <w:rFonts w:ascii="Times New Roman" w:hAnsi="Times New Roman" w:eastAsia="仿宋_GB2312"/>
                <w:bCs/>
                <w:sz w:val="24"/>
              </w:rPr>
              <w:t>日</w:t>
            </w:r>
            <w:r>
              <w:rPr>
                <w:rFonts w:hint="eastAsia" w:ascii="Times New Roman" w:hAnsi="Times New Roman" w:eastAsia="仿宋_GB2312"/>
                <w:bCs/>
                <w:sz w:val="24"/>
              </w:rPr>
              <w:t>　</w:t>
            </w:r>
            <w:r>
              <w:rPr>
                <w:rFonts w:ascii="Times New Roman" w:hAnsi="Times New Roman" w:eastAsia="仿宋_GB2312"/>
                <w:bCs/>
                <w:sz w:val="24"/>
              </w:rPr>
              <w:t>　　　</w:t>
            </w:r>
          </w:p>
        </w:tc>
      </w:tr>
      <w:bookmarkEnd w:id="5"/>
    </w:tbl>
    <w:p>
      <w:pPr>
        <w:widowControl/>
        <w:spacing w:line="100" w:lineRule="exact"/>
        <w:jc w:val="left"/>
        <w:rPr>
          <w:rFonts w:ascii="Times New Roman" w:hAnsi="Times New Roman" w:eastAsia="黑体"/>
          <w:sz w:val="32"/>
        </w:rPr>
      </w:pPr>
      <w:r>
        <w:rPr>
          <w:rFonts w:ascii="Times New Roman" w:hAnsi="Times New Roman" w:eastAsia="黑体"/>
          <w:sz w:val="32"/>
        </w:rPr>
        <w:br w:type="page"/>
      </w:r>
    </w:p>
    <w:p>
      <w:pPr>
        <w:spacing w:line="520" w:lineRule="exact"/>
        <w:textAlignment w:val="center"/>
        <w:rPr>
          <w:rFonts w:ascii="方正小标宋_GBK" w:hAnsi="宋体" w:eastAsia="方正小标宋_GBK" w:cs="宋体"/>
          <w:bCs/>
          <w:snapToGrid w:val="0"/>
          <w:spacing w:val="-5"/>
          <w:kern w:val="0"/>
          <w:sz w:val="56"/>
          <w:szCs w:val="56"/>
        </w:rPr>
      </w:pPr>
      <w:r>
        <w:rPr>
          <w:rFonts w:hint="eastAsia" w:ascii="Times New Roman" w:hAnsi="Times New Roman" w:eastAsia="黑体"/>
          <w:sz w:val="32"/>
        </w:rPr>
        <w:t>附</w:t>
      </w:r>
      <w:bookmarkStart w:id="28" w:name="_GoBack"/>
      <w:r>
        <w:rPr>
          <w:rFonts w:hint="eastAsia" w:ascii="Times New Roman" w:hAnsi="Times New Roman" w:eastAsia="黑体"/>
          <w:sz w:val="32"/>
        </w:rPr>
        <w:t>录</w:t>
      </w:r>
      <w:r>
        <w:rPr>
          <w:rFonts w:ascii="Times New Roman" w:hAnsi="Times New Roman" w:eastAsia="黑体"/>
          <w:sz w:val="32"/>
        </w:rPr>
        <w:t>5</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jc w:val="center"/>
        <w:textAlignment w:val="center"/>
        <w:rPr>
          <w:rFonts w:hint="eastAsia" w:ascii="方正小标宋_GBK" w:hAnsi="宋体" w:eastAsia="方正小标宋_GBK" w:cs="宋体"/>
          <w:bCs/>
          <w:snapToGrid w:val="0"/>
          <w:spacing w:val="-5"/>
          <w:kern w:val="0"/>
          <w:sz w:val="56"/>
          <w:szCs w:val="56"/>
          <w:lang w:eastAsia="zh-CN"/>
        </w:rPr>
      </w:pPr>
      <w:r>
        <w:rPr>
          <w:rFonts w:hint="eastAsia" w:ascii="方正小标宋_GBK" w:hAnsi="宋体" w:eastAsia="方正小标宋_GBK" w:cs="宋体"/>
          <w:bCs/>
          <w:snapToGrid w:val="0"/>
          <w:spacing w:val="-5"/>
          <w:kern w:val="0"/>
          <w:sz w:val="56"/>
          <w:szCs w:val="56"/>
        </w:rPr>
        <w:t>湖北省市政工程</w:t>
      </w:r>
      <w:r>
        <w:rPr>
          <w:rFonts w:ascii="方正小标宋_GBK" w:hAnsi="宋体" w:eastAsia="方正小标宋_GBK" w:cs="宋体"/>
          <w:bCs/>
          <w:snapToGrid w:val="0"/>
          <w:spacing w:val="-5"/>
          <w:kern w:val="0"/>
          <w:sz w:val="56"/>
          <w:szCs w:val="56"/>
        </w:rPr>
        <w:t>绿色施工</w:t>
      </w:r>
      <w:r>
        <w:rPr>
          <w:rFonts w:hint="eastAsia" w:ascii="方正小标宋_GBK" w:hAnsi="宋体" w:eastAsia="方正小标宋_GBK" w:cs="宋体"/>
          <w:bCs/>
          <w:snapToGrid w:val="0"/>
          <w:spacing w:val="-5"/>
          <w:kern w:val="0"/>
          <w:sz w:val="56"/>
          <w:szCs w:val="56"/>
        </w:rPr>
        <w:t>验收</w:t>
      </w:r>
    </w:p>
    <w:p>
      <w:pPr>
        <w:spacing w:line="700" w:lineRule="exact"/>
        <w:jc w:val="center"/>
        <w:textAlignment w:val="center"/>
        <w:rPr>
          <w:rFonts w:ascii="方正小标宋_GBK" w:hAnsi="宋体" w:eastAsia="方正小标宋_GBK" w:cs="宋体"/>
          <w:bCs/>
          <w:snapToGrid w:val="0"/>
          <w:spacing w:val="-5"/>
          <w:kern w:val="0"/>
          <w:sz w:val="56"/>
          <w:szCs w:val="56"/>
        </w:rPr>
      </w:pPr>
      <w:r>
        <w:rPr>
          <w:rFonts w:ascii="方正小标宋_GBK" w:hAnsi="宋体" w:eastAsia="方正小标宋_GBK" w:cs="宋体"/>
          <w:bCs/>
          <w:snapToGrid w:val="0"/>
          <w:spacing w:val="-5"/>
          <w:kern w:val="0"/>
          <w:sz w:val="56"/>
          <w:szCs w:val="56"/>
        </w:rPr>
        <w:t>评</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价</w:t>
      </w:r>
      <w:r>
        <w:rPr>
          <w:rFonts w:hint="eastAsia" w:ascii="方正小标宋_GBK" w:hAnsi="宋体" w:eastAsia="方正小标宋_GBK" w:cs="宋体"/>
          <w:bCs/>
          <w:snapToGrid w:val="0"/>
          <w:spacing w:val="-5"/>
          <w:kern w:val="0"/>
          <w:sz w:val="56"/>
          <w:szCs w:val="56"/>
        </w:rPr>
        <w:t>　</w:t>
      </w:r>
      <w:r>
        <w:rPr>
          <w:rFonts w:ascii="方正小标宋_GBK" w:hAnsi="宋体" w:eastAsia="方正小标宋_GBK" w:cs="宋体"/>
          <w:bCs/>
          <w:snapToGrid w:val="0"/>
          <w:spacing w:val="-5"/>
          <w:kern w:val="0"/>
          <w:sz w:val="56"/>
          <w:szCs w:val="56"/>
        </w:rPr>
        <w:t>表</w:t>
      </w: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700" w:lineRule="exact"/>
        <w:textAlignment w:val="center"/>
        <w:rPr>
          <w:rFonts w:ascii="方正小标宋_GBK" w:hAnsi="宋体" w:eastAsia="方正小标宋_GBK" w:cs="宋体"/>
          <w:bCs/>
          <w:snapToGrid w:val="0"/>
          <w:spacing w:val="-5"/>
          <w:kern w:val="0"/>
          <w:sz w:val="56"/>
          <w:szCs w:val="56"/>
        </w:rPr>
      </w:pPr>
    </w:p>
    <w:p>
      <w:pPr>
        <w:spacing w:line="800" w:lineRule="exact"/>
        <w:ind w:firstLine="1280" w:firstLineChars="400"/>
        <w:textAlignment w:val="center"/>
        <w:rPr>
          <w:rFonts w:ascii="Times New Roman" w:hAnsi="Times New Roman" w:eastAsia="仿宋_GB2312"/>
          <w:sz w:val="32"/>
          <w:szCs w:val="32"/>
        </w:rPr>
      </w:pPr>
      <w:r>
        <w:rPr>
          <w:rFonts w:hint="eastAsia" w:ascii="Times New Roman" w:hAnsi="Times New Roman" w:eastAsia="仿宋_GB2312"/>
          <w:sz w:val="32"/>
          <w:szCs w:val="32"/>
        </w:rPr>
        <w:t>工程名称</w:t>
      </w:r>
      <w:r>
        <w:rPr>
          <w:rFonts w:ascii="Times New Roman" w:hAnsi="Times New Roman" w:eastAsia="仿宋_GB2312"/>
          <w:sz w:val="32"/>
          <w:szCs w:val="32"/>
        </w:rPr>
        <w:t>：</w:t>
      </w:r>
      <w:r>
        <w:rPr>
          <w:rFonts w:ascii="Times New Roman" w:hAnsi="Times New Roman" w:eastAsia="仿宋_GB2312"/>
          <w:sz w:val="32"/>
          <w:szCs w:val="32"/>
          <w:u w:val="single"/>
        </w:rPr>
        <w:t>　　　　　　　　　　　　　</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申报单位：</w:t>
      </w:r>
      <w:r>
        <w:rPr>
          <w:rFonts w:ascii="Times New Roman" w:hAnsi="Times New Roman" w:eastAsia="仿宋_GB2312"/>
          <w:sz w:val="32"/>
          <w:szCs w:val="32"/>
          <w:u w:val="single"/>
        </w:rPr>
        <w:t>　　　　　　　　　　　　　</w:t>
      </w:r>
      <w:r>
        <w:rPr>
          <w:rFonts w:ascii="Times New Roman" w:hAnsi="Times New Roman" w:eastAsia="仿宋_GB2312"/>
          <w:sz w:val="32"/>
          <w:szCs w:val="32"/>
        </w:rPr>
        <w:t>（公章）</w:t>
      </w:r>
    </w:p>
    <w:p>
      <w:pPr>
        <w:spacing w:line="800"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申请时间：</w:t>
      </w:r>
      <w:r>
        <w:rPr>
          <w:rFonts w:ascii="Times New Roman" w:hAnsi="Times New Roman" w:eastAsia="仿宋_GB2312"/>
          <w:sz w:val="32"/>
          <w:szCs w:val="32"/>
          <w:u w:val="single"/>
        </w:rPr>
        <w:t>　　　　　　</w:t>
      </w:r>
      <w:r>
        <w:rPr>
          <w:rFonts w:hint="eastAsia"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32" w:lineRule="exact"/>
        <w:jc w:val="center"/>
        <w:textAlignment w:val="center"/>
        <w:rPr>
          <w:rFonts w:ascii="Times New Roman" w:hAnsi="Times New Roman" w:eastAsia="仿宋_GB2312"/>
          <w:sz w:val="32"/>
          <w:szCs w:val="32"/>
        </w:rPr>
      </w:pPr>
    </w:p>
    <w:p>
      <w:pPr>
        <w:spacing w:line="579" w:lineRule="exact"/>
        <w:jc w:val="center"/>
        <w:textAlignment w:val="center"/>
        <w:rPr>
          <w:rFonts w:ascii="楷体_GB2312" w:hAnsi="Times New Roman" w:eastAsia="楷体_GB2312"/>
          <w:snapToGrid w:val="0"/>
          <w:kern w:val="0"/>
          <w:sz w:val="32"/>
          <w:szCs w:val="32"/>
        </w:rPr>
        <w:sectPr>
          <w:footerReference r:id="rId7" w:type="default"/>
          <w:pgSz w:w="11900" w:h="16830"/>
          <w:pgMar w:top="1871" w:right="1531" w:bottom="2211" w:left="1531" w:header="851" w:footer="1531" w:gutter="0"/>
          <w:cols w:space="720" w:num="1"/>
          <w:docGrid w:type="lines" w:linePitch="0" w:charSpace="0"/>
        </w:sectPr>
      </w:pPr>
      <w:r>
        <w:rPr>
          <w:rFonts w:hint="eastAsia" w:ascii="楷体_GB2312" w:hAnsi="Times New Roman" w:eastAsia="楷体_GB2312"/>
          <w:sz w:val="32"/>
          <w:szCs w:val="32"/>
        </w:rPr>
        <w:t>湖北省市政工程协会编制</w:t>
      </w:r>
    </w:p>
    <w:p>
      <w:pPr>
        <w:pStyle w:val="8"/>
        <w:widowControl w:val="0"/>
        <w:spacing w:before="0" w:beforeAutospacing="0" w:after="0" w:afterAutospacing="0" w:line="579" w:lineRule="exact"/>
        <w:ind w:firstLine="723" w:firstLineChars="200"/>
        <w:jc w:val="both"/>
        <w:textAlignment w:val="center"/>
        <w:rPr>
          <w:rFonts w:ascii="华文中宋" w:hAnsi="华文中宋" w:eastAsia="华文中宋" w:cs="Arial Unicode MS"/>
          <w:b/>
          <w:bCs/>
          <w:sz w:val="36"/>
          <w:szCs w:val="36"/>
        </w:rPr>
      </w:pPr>
    </w:p>
    <w:p>
      <w:pPr>
        <w:pStyle w:val="23"/>
        <w:overflowPunct w:val="0"/>
        <w:adjustRightInd w:val="0"/>
        <w:snapToGrid w:val="0"/>
        <w:spacing w:line="579" w:lineRule="exact"/>
        <w:ind w:firstLine="760"/>
        <w:textAlignment w:val="center"/>
        <w:rPr>
          <w:rFonts w:ascii="方正小标宋_GBK" w:hAnsi="华文中宋" w:eastAsia="方正小标宋_GBK" w:cs="Arial Unicode MS"/>
          <w:bCs/>
          <w:sz w:val="38"/>
          <w:szCs w:val="38"/>
        </w:rPr>
      </w:pPr>
      <w:r>
        <w:rPr>
          <w:rFonts w:hint="eastAsia" w:ascii="方正小标宋_GBK" w:hAnsi="华文中宋" w:eastAsia="方正小标宋_GBK" w:cs="Arial Unicode MS"/>
          <w:bCs/>
          <w:sz w:val="38"/>
          <w:szCs w:val="38"/>
        </w:rPr>
        <w:t>湖北省市政工程绿色施工验收评价表用表说明</w:t>
      </w:r>
    </w:p>
    <w:p>
      <w:pPr>
        <w:pStyle w:val="23"/>
        <w:overflowPunct w:val="0"/>
        <w:adjustRightInd w:val="0"/>
        <w:snapToGrid w:val="0"/>
        <w:spacing w:line="579" w:lineRule="exact"/>
        <w:ind w:firstLine="760"/>
        <w:textAlignment w:val="center"/>
        <w:rPr>
          <w:rFonts w:ascii="方正小标宋_GBK" w:hAnsi="华文中宋" w:eastAsia="方正小标宋_GBK" w:cs="Arial Unicode MS"/>
          <w:bCs/>
          <w:sz w:val="38"/>
          <w:szCs w:val="38"/>
        </w:rPr>
      </w:pPr>
    </w:p>
    <w:p>
      <w:pPr>
        <w:pStyle w:val="23"/>
        <w:overflowPunct w:val="0"/>
        <w:adjustRightInd w:val="0"/>
        <w:snapToGrid w:val="0"/>
        <w:spacing w:line="579" w:lineRule="exact"/>
        <w:ind w:firstLine="64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一、湖北省市政工程绿色施工验收评价表包含以下部分：</w:t>
      </w:r>
    </w:p>
    <w:p>
      <w:pPr>
        <w:overflowPunct w:val="0"/>
        <w:spacing w:line="579" w:lineRule="exact"/>
        <w:ind w:firstLine="640" w:firstLineChars="200"/>
        <w:textAlignment w:val="center"/>
        <w:rPr>
          <w:rFonts w:ascii="Times New Roman" w:hAnsi="Times New Roman" w:eastAsia="仿宋_GB2312"/>
          <w:sz w:val="32"/>
          <w:szCs w:val="32"/>
        </w:rPr>
      </w:pPr>
      <w:bookmarkStart w:id="6" w:name="_Hlk99226068"/>
      <w:r>
        <w:rPr>
          <w:rFonts w:ascii="Times New Roman" w:hAnsi="Times New Roman" w:eastAsia="仿宋_GB2312"/>
          <w:sz w:val="32"/>
          <w:szCs w:val="32"/>
        </w:rPr>
        <w:t>（一）</w:t>
      </w:r>
      <w:bookmarkEnd w:id="6"/>
      <w:r>
        <w:rPr>
          <w:rFonts w:ascii="Times New Roman" w:hAnsi="Times New Roman" w:eastAsia="仿宋_GB2312"/>
          <w:sz w:val="32"/>
          <w:szCs w:val="32"/>
        </w:rPr>
        <w:t>绿色施工管理（控制项）；</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）环境保护与安全（30分）；</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（三）资源节约与循环利用（40分）；</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（四）技术创新与创效（20分）；</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（五）绿色可持续发展（10分）。</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二、首先针对控制项进行评价，当控制项全部满足要求且措施到位时，进入评分项的评价流程，否则，为非绿色工程项目，可终止检查。不参评条款打</w:t>
      </w:r>
      <w:r>
        <w:rPr>
          <w:rFonts w:hint="eastAsia" w:ascii="方正书宋_GBK" w:hAnsi="Times New Roman" w:eastAsia="方正书宋_GBK"/>
          <w:sz w:val="32"/>
          <w:szCs w:val="32"/>
        </w:rPr>
        <w:t>“</w:t>
      </w:r>
      <w:r>
        <w:rPr>
          <w:rFonts w:hint="eastAsia" w:ascii="Times New Roman" w:hAnsi="Times New Roman" w:eastAsia="仿宋_GB2312"/>
          <w:sz w:val="32"/>
          <w:szCs w:val="32"/>
        </w:rPr>
        <w:t>／</w:t>
      </w:r>
      <w:r>
        <w:rPr>
          <w:rFonts w:hint="eastAsia" w:ascii="方正书宋_GBK" w:hAnsi="Times New Roman" w:eastAsia="方正书宋_GBK"/>
          <w:sz w:val="32"/>
          <w:szCs w:val="32"/>
        </w:rPr>
        <w:t>”</w:t>
      </w:r>
      <w:r>
        <w:rPr>
          <w:rFonts w:ascii="Times New Roman" w:hAnsi="Times New Roman" w:eastAsia="仿宋_GB2312"/>
          <w:sz w:val="32"/>
          <w:szCs w:val="32"/>
        </w:rPr>
        <w:t>。</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三、项目绿色施工评价综合情况</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根据项目验收评价情况，结合过程评价专家意见，对项目绿色施工进行综合评价。过程评价占60%权重，验收评价占40%权重。按60分以上为合格，85分以上为优秀进行判定。</w:t>
      </w:r>
    </w:p>
    <w:p>
      <w:pPr>
        <w:rPr>
          <w:rFonts w:ascii="华文中宋" w:hAnsi="华文中宋" w:eastAsia="华文中宋"/>
          <w:sz w:val="28"/>
          <w:szCs w:val="28"/>
        </w:rPr>
      </w:pPr>
      <w:r>
        <w:rPr>
          <w:rFonts w:ascii="华文中宋" w:hAnsi="华文中宋" w:eastAsia="华文中宋"/>
          <w:sz w:val="28"/>
          <w:szCs w:val="28"/>
        </w:rPr>
        <w:br w:type="page"/>
      </w:r>
    </w:p>
    <w:p>
      <w:pPr>
        <w:pStyle w:val="23"/>
        <w:overflowPunct w:val="0"/>
        <w:adjustRightInd w:val="0"/>
        <w:snapToGrid w:val="0"/>
        <w:spacing w:before="312" w:beforeLines="100" w:after="312" w:afterLines="100" w:line="579" w:lineRule="exact"/>
        <w:ind w:firstLine="0" w:firstLineChars="0"/>
        <w:jc w:val="center"/>
        <w:textAlignment w:val="center"/>
        <w:rPr>
          <w:rFonts w:ascii="方正小标宋_GBK" w:hAnsi="华文中宋" w:eastAsia="方正小标宋_GBK" w:cs="Arial Unicode MS"/>
          <w:bCs/>
          <w:sz w:val="38"/>
          <w:szCs w:val="38"/>
        </w:rPr>
      </w:pPr>
      <w:r>
        <w:rPr>
          <w:rFonts w:hint="eastAsia" w:ascii="方正小标宋_GBK" w:hAnsi="华文中宋" w:eastAsia="方正小标宋_GBK" w:cs="Arial Unicode MS"/>
          <w:bCs/>
          <w:sz w:val="38"/>
          <w:szCs w:val="38"/>
        </w:rPr>
        <w:t>一</w:t>
      </w:r>
      <w:r>
        <w:rPr>
          <w:rFonts w:ascii="方正小标宋_GBK" w:hAnsi="华文中宋" w:eastAsia="方正小标宋_GBK" w:cs="Arial Unicode MS"/>
          <w:bCs/>
          <w:sz w:val="38"/>
          <w:szCs w:val="38"/>
        </w:rPr>
        <w:t>、</w:t>
      </w:r>
      <w:r>
        <w:rPr>
          <w:rFonts w:hint="eastAsia" w:ascii="方正小标宋_GBK" w:hAnsi="华文中宋" w:eastAsia="方正小标宋_GBK" w:cs="Arial Unicode MS"/>
          <w:bCs/>
          <w:sz w:val="38"/>
          <w:szCs w:val="38"/>
        </w:rPr>
        <w:t>绿色施工管理（控制项）</w:t>
      </w:r>
    </w:p>
    <w:p>
      <w:pPr>
        <w:spacing w:line="360" w:lineRule="exact"/>
        <w:rPr>
          <w:rFonts w:ascii="Times New Roman" w:hAnsi="Times New Roman" w:eastAsia="仿宋_GB2312"/>
          <w:b/>
          <w:spacing w:val="-2"/>
          <w:sz w:val="24"/>
        </w:rPr>
      </w:pPr>
      <w:r>
        <w:rPr>
          <w:rFonts w:ascii="Times New Roman" w:hAnsi="Times New Roman" w:eastAsia="仿宋_GB2312"/>
          <w:b/>
          <w:spacing w:val="-2"/>
          <w:sz w:val="24"/>
        </w:rPr>
        <w:t>工程名称：</w:t>
      </w:r>
    </w:p>
    <w:p>
      <w:pPr>
        <w:spacing w:after="93" w:afterLines="30" w:line="360" w:lineRule="exact"/>
        <w:jc w:val="center"/>
        <w:rPr>
          <w:rFonts w:ascii="Times New Roman" w:hAnsi="Times New Roman" w:eastAsia="黑体"/>
          <w:spacing w:val="-14"/>
          <w:sz w:val="24"/>
        </w:rPr>
      </w:pPr>
      <w:r>
        <w:rPr>
          <w:rFonts w:ascii="Times New Roman" w:hAnsi="Times New Roman" w:eastAsia="黑体"/>
          <w:spacing w:val="-2"/>
          <w:sz w:val="24"/>
        </w:rPr>
        <w:t>表1：绿色施工管理指标</w:t>
      </w:r>
    </w:p>
    <w:tbl>
      <w:tblPr>
        <w:tblStyle w:val="25"/>
        <w:tblW w:w="8945"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57" w:type="dxa"/>
          <w:bottom w:w="0" w:type="dxa"/>
          <w:right w:w="57" w:type="dxa"/>
        </w:tblCellMar>
      </w:tblPr>
      <w:tblGrid>
        <w:gridCol w:w="642"/>
        <w:gridCol w:w="658"/>
        <w:gridCol w:w="3225"/>
        <w:gridCol w:w="3340"/>
        <w:gridCol w:w="1080"/>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57" w:type="dxa"/>
            <w:bottom w:w="0" w:type="dxa"/>
            <w:right w:w="57" w:type="dxa"/>
          </w:tblCellMar>
        </w:tblPrEx>
        <w:trPr>
          <w:cantSplit/>
          <w:trHeight w:val="335" w:hRule="atLeast"/>
          <w:tblHeader/>
          <w:jc w:val="center"/>
        </w:trPr>
        <w:tc>
          <w:tcPr>
            <w:tcW w:w="642" w:type="dxa"/>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883" w:type="dxa"/>
            <w:gridSpan w:val="2"/>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3340" w:type="dxa"/>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1080" w:type="dxa"/>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是否通过</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57" w:type="dxa"/>
            <w:bottom w:w="0" w:type="dxa"/>
            <w:right w:w="57" w:type="dxa"/>
          </w:tblCellMar>
        </w:tblPrEx>
        <w:trPr>
          <w:cantSplit/>
          <w:trHeight w:val="3332" w:hRule="atLeast"/>
          <w:jc w:val="center"/>
        </w:trPr>
        <w:tc>
          <w:tcPr>
            <w:tcW w:w="642" w:type="dxa"/>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658" w:type="dxa"/>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组织管理</w:t>
            </w:r>
          </w:p>
        </w:tc>
        <w:tc>
          <w:tcPr>
            <w:tcW w:w="3225" w:type="dxa"/>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（1）建立绿色施工过程管理体系，并制定相应的管理制度，明确各级人员责任。</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（2）专业分包合同中应有绿色施工要求。</w:t>
            </w:r>
          </w:p>
        </w:tc>
        <w:tc>
          <w:tcPr>
            <w:tcW w:w="3340" w:type="dxa"/>
            <w:vAlign w:val="center"/>
          </w:tcPr>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12"/>
                <w:sz w:val="24"/>
              </w:rPr>
              <w:t>体系及管理制度是否健全。</w:t>
            </w:r>
          </w:p>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（2）施工总承包、建设方、设计、监理单位应明确负责人，组织、实施、监督绿色建造施工过程可持续性工作。岗位明确，职责清晰，人员到位。</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（3）专业分包合同中是否提出相应绿色施工要求。</w:t>
            </w:r>
          </w:p>
        </w:tc>
        <w:tc>
          <w:tcPr>
            <w:tcW w:w="1080" w:type="dxa"/>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57" w:type="dxa"/>
            <w:bottom w:w="0" w:type="dxa"/>
            <w:right w:w="57" w:type="dxa"/>
          </w:tblCellMar>
        </w:tblPrEx>
        <w:trPr>
          <w:cantSplit/>
          <w:trHeight w:val="7217" w:hRule="atLeast"/>
          <w:jc w:val="center"/>
        </w:trPr>
        <w:tc>
          <w:tcPr>
            <w:tcW w:w="642" w:type="dxa"/>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658" w:type="dxa"/>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策划与实施管理</w:t>
            </w:r>
          </w:p>
        </w:tc>
        <w:tc>
          <w:tcPr>
            <w:tcW w:w="3225" w:type="dxa"/>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（1）依据</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技术指标</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并结合工程特点，将绿色前期策划制定的绿色总目标要求落实到施工组织设计中各环节；编制绿色建造策划实施方案，细化提出具体绿色施工目标（含质量安全目标）；制定项目切实可行的绿色建造施工过程管控措施，绿色建造实施过程应真实记录。</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6"/>
                <w:sz w:val="24"/>
              </w:rPr>
              <w:t>结合工程特点，建立绿色施工过程交底、培训制度。</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（3）根据绿色建造施工过程要求进行图纸会审、深化设计和合理化建议。制定优化设计、方案优化措施。</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（4）立项开展绿色施工技术创新及应用。</w:t>
            </w:r>
          </w:p>
        </w:tc>
        <w:tc>
          <w:tcPr>
            <w:tcW w:w="3340" w:type="dxa"/>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（1）施工组织设计或绿色建造实施策划方案中，</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五方面</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达到指标要求，对绿色建造施工过程有相关的措施和技术保证，并按规定进行审批。</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（2）施工过程管理文件、台账、见证资料和自评价记录等资料。</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（3）绿色建造施工过程宣传资料、标识、交底、培训记录和资料。</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（4）图纸会审记录，深化设计方案，并反映有关绿色施工变动内容的洽商记录、工程技术交底记录。</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（5）施工技术创新研究立项资料。</w:t>
            </w:r>
          </w:p>
        </w:tc>
        <w:tc>
          <w:tcPr>
            <w:tcW w:w="1080" w:type="dxa"/>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57" w:type="dxa"/>
            <w:bottom w:w="0" w:type="dxa"/>
            <w:right w:w="57" w:type="dxa"/>
          </w:tblCellMar>
        </w:tblPrEx>
        <w:trPr>
          <w:cantSplit/>
          <w:trHeight w:val="6491" w:hRule="atLeast"/>
          <w:jc w:val="center"/>
        </w:trPr>
        <w:tc>
          <w:tcPr>
            <w:tcW w:w="642" w:type="dxa"/>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658" w:type="dxa"/>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人力资源健康保障</w:t>
            </w:r>
          </w:p>
        </w:tc>
        <w:tc>
          <w:tcPr>
            <w:tcW w:w="3225" w:type="dxa"/>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6"/>
                <w:sz w:val="24"/>
              </w:rPr>
              <w:t>应有人员健康应急预案；制定职业病预防、传染病疫情防范措施；定期对从事有职业病危害作业的人员进行体检；野外施工时，应有防止高温、高湿、高盐、沙尘暴等恶劣气候条件及野生动植物伤害措施和应急预案。</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保护施工人员安全。施工现场危险地段等处应设置醒目安全标志；应佩戴相应的防护器具和劳动保护用品；密闭环境应设置检测报警及通风设施；配备相应应急设施；现场应有应急疏散、逃生标志、应急照明及消暑防寒设施。</w:t>
            </w:r>
          </w:p>
        </w:tc>
        <w:tc>
          <w:tcPr>
            <w:tcW w:w="3340" w:type="dxa"/>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（1）人员健康和保护应急预案编制情况，制定职业病预防、传染病疫情防范等措施。</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12"/>
                <w:sz w:val="24"/>
              </w:rPr>
              <w:t>现场各相关标志布置情况。</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（3）食堂、食材及用水制度制定情况及消毒记录。</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（4）卫生设施、排水沟及厕所消毒制度及记录。</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（5）施工现场劳动管理制度制定及实施情况。</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（6）现场安全标志及应急设施情况。</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（7）特种作业人员劳动保护发放记录。</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（8）施工现场有毒有害材料储存仓库与堆放应达标并标识清晰</w:t>
            </w:r>
            <w:r>
              <w:rPr>
                <w:rFonts w:hint="eastAsia" w:ascii="Times New Roman" w:hAnsi="Times New Roman" w:eastAsia="仿宋_GB2312" w:cs="Times New Roman"/>
                <w:snapToGrid w:val="0"/>
                <w:color w:val="auto"/>
                <w:sz w:val="24"/>
              </w:rPr>
              <w:t>。</w:t>
            </w:r>
          </w:p>
        </w:tc>
        <w:tc>
          <w:tcPr>
            <w:tcW w:w="1080" w:type="dxa"/>
            <w:vAlign w:val="center"/>
          </w:tcPr>
          <w:p>
            <w:pPr>
              <w:overflowPunct w:val="0"/>
              <w:spacing w:line="320" w:lineRule="exact"/>
              <w:textAlignment w:val="center"/>
              <w:rPr>
                <w:rFonts w:ascii="Times New Roman" w:hAnsi="Times New Roman" w:eastAsia="仿宋_GB2312" w:cs="Times New Roman"/>
                <w:snapToGrid w:val="0"/>
                <w:color w:val="auto"/>
                <w:sz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57" w:type="dxa"/>
            <w:bottom w:w="0" w:type="dxa"/>
            <w:right w:w="57" w:type="dxa"/>
          </w:tblCellMar>
        </w:tblPrEx>
        <w:trPr>
          <w:cantSplit/>
          <w:trHeight w:val="5009" w:hRule="atLeast"/>
          <w:jc w:val="center"/>
        </w:trPr>
        <w:tc>
          <w:tcPr>
            <w:tcW w:w="642" w:type="dxa"/>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p>
        </w:tc>
        <w:tc>
          <w:tcPr>
            <w:tcW w:w="658" w:type="dxa"/>
            <w:vAlign w:val="center"/>
          </w:tcPr>
          <w:p>
            <w:pPr>
              <w:overflowPunct w:val="0"/>
              <w:spacing w:line="320" w:lineRule="exact"/>
              <w:textAlignment w:val="center"/>
              <w:rPr>
                <w:rFonts w:hint="eastAsia" w:ascii="Times New Roman" w:hAnsi="Times New Roman" w:eastAsia="仿宋_GB2312" w:cs="Times New Roman"/>
                <w:snapToGrid w:val="0"/>
                <w:color w:val="auto"/>
                <w:sz w:val="24"/>
                <w:lang w:eastAsia="zh-CN"/>
              </w:rPr>
            </w:pPr>
            <w:r>
              <w:rPr>
                <w:rFonts w:ascii="Times New Roman" w:hAnsi="Times New Roman" w:eastAsia="仿宋_GB2312" w:cs="Times New Roman"/>
                <w:snapToGrid w:val="0"/>
                <w:color w:val="auto"/>
                <w:sz w:val="24"/>
              </w:rPr>
              <w:t>评价</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管理</w:t>
            </w:r>
          </w:p>
        </w:tc>
        <w:tc>
          <w:tcPr>
            <w:tcW w:w="3225" w:type="dxa"/>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（1）项目应根据绿色建造施工过程目标，结合工程特点，合理划分阶段，组织对绿色施工的完成情况进行评价和对比分析。</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（2）绿色建造施工过程中，对相关绿色施工现场的图片及影像资料进行收集、分类、存档。</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r>
              <w:rPr>
                <w:rFonts w:ascii="Times New Roman" w:hAnsi="Times New Roman" w:eastAsia="仿宋_GB2312" w:cs="Times New Roman"/>
                <w:snapToGrid w:val="0"/>
                <w:color w:val="auto"/>
                <w:spacing w:val="-6"/>
                <w:sz w:val="24"/>
              </w:rPr>
              <w:t>违反国家有法律法规，发生质量安全事故，以及其他原因造成不良社会影响的为一票否决事项，不得参评。</w:t>
            </w:r>
          </w:p>
        </w:tc>
        <w:tc>
          <w:tcPr>
            <w:tcW w:w="3340" w:type="dxa"/>
            <w:vAlign w:val="center"/>
          </w:tcPr>
          <w:p>
            <w:pPr>
              <w:overflowPunct w:val="0"/>
              <w:spacing w:line="32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（1）各施工阶段自我评价表；</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hint="eastAsia" w:ascii="方正书宋_GBK" w:hAnsi="Times New Roman" w:eastAsia="方正书宋_GBK" w:cs="Times New Roman"/>
                <w:snapToGrid w:val="0"/>
                <w:color w:val="auto"/>
                <w:spacing w:val="-6"/>
                <w:sz w:val="24"/>
              </w:rPr>
              <w:t>“</w:t>
            </w:r>
            <w:r>
              <w:rPr>
                <w:rFonts w:ascii="Times New Roman" w:hAnsi="Times New Roman" w:eastAsia="仿宋_GB2312" w:cs="Times New Roman"/>
                <w:snapToGrid w:val="0"/>
                <w:color w:val="auto"/>
                <w:spacing w:val="-6"/>
                <w:sz w:val="24"/>
              </w:rPr>
              <w:t>五方面</w:t>
            </w:r>
            <w:r>
              <w:rPr>
                <w:rFonts w:hint="eastAsia" w:ascii="方正书宋_GBK" w:hAnsi="Times New Roman" w:eastAsia="方正书宋_GBK" w:cs="Times New Roman"/>
                <w:snapToGrid w:val="0"/>
                <w:color w:val="auto"/>
                <w:spacing w:val="-6"/>
                <w:sz w:val="24"/>
              </w:rPr>
              <w:t>”</w:t>
            </w:r>
            <w:r>
              <w:rPr>
                <w:rFonts w:ascii="Times New Roman" w:hAnsi="Times New Roman" w:eastAsia="仿宋_GB2312" w:cs="Times New Roman"/>
                <w:snapToGrid w:val="0"/>
                <w:color w:val="auto"/>
                <w:spacing w:val="-6"/>
                <w:sz w:val="24"/>
              </w:rPr>
              <w:t>控制指标各阶段总结和指标对比分析报告。</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（3）绿色施工过程实施情况及阶段性总结。</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（4）绿色施工现场图片和影像资料情况。</w:t>
            </w:r>
          </w:p>
        </w:tc>
        <w:tc>
          <w:tcPr>
            <w:tcW w:w="1080" w:type="dxa"/>
            <w:vAlign w:val="center"/>
          </w:tcPr>
          <w:p>
            <w:pPr>
              <w:overflowPunct w:val="0"/>
              <w:spacing w:line="320" w:lineRule="exact"/>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hint="eastAsia" w:ascii="仿宋_GB2312" w:eastAsia="仿宋_GB2312"/>
          <w:sz w:val="24"/>
          <w:szCs w:val="24"/>
          <w:lang w:eastAsia="zh-CN"/>
        </w:rPr>
      </w:pPr>
      <w:bookmarkStart w:id="7" w:name="_Hlk99225679"/>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r>
        <w:rPr>
          <w:rFonts w:hint="eastAsia" w:ascii="仿宋_GB2312" w:eastAsia="仿宋_GB2312"/>
          <w:sz w:val="24"/>
          <w:szCs w:val="24"/>
          <w:lang w:eastAsia="zh-CN"/>
        </w:rPr>
        <w:t>日期：</w:t>
      </w:r>
    </w:p>
    <w:p>
      <w:pPr>
        <w:pStyle w:val="23"/>
        <w:kinsoku w:val="0"/>
        <w:overflowPunct w:val="0"/>
        <w:autoSpaceDE w:val="0"/>
        <w:autoSpaceDN w:val="0"/>
        <w:spacing w:before="93" w:beforeLines="30" w:line="360" w:lineRule="exact"/>
        <w:textAlignment w:val="center"/>
        <w:rPr>
          <w:rFonts w:ascii="仿宋_GB2312" w:hAnsi="宋体" w:eastAsia="仿宋_GB2312" w:cs="宋体"/>
          <w:sz w:val="24"/>
          <w:szCs w:val="24"/>
        </w:rPr>
      </w:pPr>
      <w:r>
        <w:rPr>
          <w:rFonts w:ascii="宋体" w:hAnsi="宋体" w:cs="宋体"/>
          <w:spacing w:val="-20"/>
          <w:w w:val="94"/>
        </w:rPr>
        <w:br w:type="page"/>
      </w:r>
    </w:p>
    <w:p>
      <w:pPr>
        <w:pStyle w:val="23"/>
        <w:kinsoku w:val="0"/>
        <w:overflowPunct w:val="0"/>
        <w:autoSpaceDE w:val="0"/>
        <w:autoSpaceDN w:val="0"/>
        <w:spacing w:before="249" w:beforeLines="80" w:after="312" w:afterLines="100" w:line="579" w:lineRule="exact"/>
        <w:ind w:firstLine="0" w:firstLineChars="0"/>
        <w:jc w:val="center"/>
        <w:textAlignment w:val="center"/>
        <w:outlineLvl w:val="0"/>
        <w:rPr>
          <w:rFonts w:ascii="方正小标宋_GBK" w:hAnsi="黑体" w:eastAsia="方正小标宋_GBK" w:cs="宋体"/>
          <w:sz w:val="38"/>
          <w:szCs w:val="38"/>
        </w:rPr>
      </w:pPr>
      <w:r>
        <w:rPr>
          <w:rFonts w:hint="eastAsia" w:ascii="方正小标宋_GBK" w:hAnsi="黑体" w:eastAsia="方正小标宋_GBK" w:cs="宋体"/>
          <w:sz w:val="38"/>
          <w:szCs w:val="38"/>
        </w:rPr>
        <w:t>二</w:t>
      </w:r>
      <w:r>
        <w:rPr>
          <w:rFonts w:ascii="方正小标宋_GBK" w:hAnsi="黑体" w:eastAsia="方正小标宋_GBK" w:cs="宋体"/>
          <w:sz w:val="38"/>
          <w:szCs w:val="38"/>
        </w:rPr>
        <w:t>、环境保护与安全（30分）</w:t>
      </w:r>
    </w:p>
    <w:bookmarkEnd w:id="7"/>
    <w:p>
      <w:pPr>
        <w:spacing w:line="360" w:lineRule="exact"/>
        <w:rPr>
          <w:rFonts w:ascii="Times New Roman" w:hAnsi="Times New Roman" w:eastAsia="仿宋_GB2312"/>
          <w:b/>
          <w:spacing w:val="-2"/>
          <w:sz w:val="24"/>
        </w:rPr>
      </w:pPr>
      <w:r>
        <w:rPr>
          <w:rFonts w:hint="eastAsia" w:ascii="Times New Roman" w:hAnsi="Times New Roman" w:eastAsia="仿宋_GB2312"/>
          <w:b/>
          <w:spacing w:val="-2"/>
          <w:sz w:val="24"/>
        </w:rPr>
        <w:t>工程名程：</w:t>
      </w:r>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表2：环境保护与安全指标30分</w:t>
      </w:r>
    </w:p>
    <w:tbl>
      <w:tblPr>
        <w:tblStyle w:val="25"/>
        <w:tblW w:w="8948"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57" w:type="dxa"/>
          <w:bottom w:w="0" w:type="dxa"/>
          <w:right w:w="57" w:type="dxa"/>
        </w:tblCellMar>
      </w:tblPr>
      <w:tblGrid>
        <w:gridCol w:w="671"/>
        <w:gridCol w:w="660"/>
        <w:gridCol w:w="3603"/>
        <w:gridCol w:w="2268"/>
        <w:gridCol w:w="850"/>
        <w:gridCol w:w="89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97" w:hRule="atLeast"/>
          <w:tblHeader/>
        </w:trPr>
        <w:tc>
          <w:tcPr>
            <w:tcW w:w="671" w:type="dxa"/>
            <w:shd w:val="clear" w:color="auto" w:fill="auto"/>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4263" w:type="dxa"/>
            <w:gridSpan w:val="2"/>
            <w:shd w:val="clear" w:color="auto" w:fill="auto"/>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268" w:type="dxa"/>
            <w:shd w:val="clear" w:color="auto" w:fill="auto"/>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850" w:type="dxa"/>
            <w:shd w:val="clear" w:color="auto" w:fill="auto"/>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896" w:type="dxa"/>
            <w:shd w:val="clear" w:color="auto" w:fill="auto"/>
            <w:vAlign w:val="center"/>
          </w:tcPr>
          <w:p>
            <w:pPr>
              <w:overflowPunct w:val="0"/>
              <w:spacing w:line="36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97" w:hRule="atLeast"/>
        </w:trPr>
        <w:tc>
          <w:tcPr>
            <w:tcW w:w="8948" w:type="dxa"/>
            <w:gridSpan w:val="6"/>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b/>
                <w:snapToGrid w:val="0"/>
                <w:color w:val="auto"/>
                <w:sz w:val="24"/>
              </w:rPr>
              <w:t>常规指标25分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466"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扬尘控制</w:t>
            </w: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（1）施工现场出口应设置洗车槽（0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3分）。运送土石方、垃圾、设备及建材等，控制扬尘必须采取措施封闭严密，保证车辆清洁（0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3分）。不污损场内外道路（0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4分）。</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土石方施工、建材场内外运输、堆放，对粉末状、聚苯等材料封闭存放实施过程的控制与实效。</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697"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（2）施工现场鼓励采取自动扬尘监测与自动喷雾等降尘联动措施。降尘控制有效（0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5分）。有详实记录（0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5分）。</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现场降尘设备使用情况，相关降尘记录。</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842"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易产生扬尘的施工作业等要有防尘、抑尘或降尘措施。预制构件工厂清理模具、喷涂脱模剂等工序宜采用粉尘及颗粒物的回收系统；拆除、爆破作业应有抑尘措施。在禁令施工时间内严格执行有关禁止施工的规定。</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施工过程（结构、装饰装修、预制构件、拆除、爆破等）扬控制措施与实效。</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956"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（4）利用施工现场的空闲地进行绿化，美化和保护环境。</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施工现场进行绿化时，兼顾永临结合。</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088"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（5）土方施工作业和高空垃圾清运扬尘控制措施的有效性控制。</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土方施工作业采取的措施和过程控制的高效性。高空垃圾清运扬尘控制的有效性。</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158"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有害气体排放控制</w:t>
            </w: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4"/>
                <w:sz w:val="24"/>
              </w:rPr>
              <w:t>施工现场食堂油烟的排放控制。</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工地食堂油烟100%经油烟净化处理后排放。</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488"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（2）进出场车辆及机械设备有害气体排放应符合国家年检要求。</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进出场车辆、设备及场内使用的非道路行驶机械，废气达到年检合格标准。</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115"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（3）电焊烟气的排放应符合现行国家标准《大气污染物综合排放标准（GB16297）》的规定。配置电焊烟气净化专用系统设备等控制措施。施工现场严禁焚烧各类废弃物。</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集中焊接应有焊烟净化装置。</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Arial"/>
                <w:snapToGrid w:val="0"/>
                <w:color w:val="000000"/>
                <w:sz w:val="24"/>
              </w:rPr>
              <w:drawing>
                <wp:anchor distT="0" distB="0" distL="0" distR="0" simplePos="0" relativeHeight="251659264" behindDoc="0" locked="0" layoutInCell="1" allowOverlap="1">
                  <wp:simplePos x="0" y="0"/>
                  <wp:positionH relativeFrom="rightMargin">
                    <wp:posOffset>-49530</wp:posOffset>
                  </wp:positionH>
                  <wp:positionV relativeFrom="topMargin">
                    <wp:posOffset>5148580</wp:posOffset>
                  </wp:positionV>
                  <wp:extent cx="8890" cy="889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8890" cy="8890"/>
                          </a:xfrm>
                          <a:prstGeom prst="rect">
                            <a:avLst/>
                          </a:prstGeom>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4240"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水土污染控制</w:t>
            </w: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（1）施工现场污水排放应达到国家标准的要求。《污水综合排放标准（GB8978）》的要求，定期检测污水排放情况。</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（1）水污染控制措施有效，符合标准；污水排放进行检测记录齐全。</w:t>
            </w:r>
          </w:p>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6"/>
                <w:sz w:val="24"/>
              </w:rPr>
              <w:t>在施工现场应针对不同的污水，设置相应的处理设施；施工现场与生活区要设置隔油池、化粪池等，应委托专业环卫部门进行隔油池、化粪池的清掏，要有记录。</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121"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（2）对于化学品等有毒材料、油料的储存地，应有严格的隔水层设计，做好防渗漏及收集和处理工作。现场道路和材料堆放场地周边应设排水沟并通畅；现场做到雨污分流。</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2"/>
                <w:sz w:val="24"/>
              </w:rPr>
              <w:t>化学品存放处及污物排放采取有效的隔离措施。设排水沟并通畅，实施雨污分流科学合理。</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143"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（3）现场淤泥质渣土再利用或脱水后外运。</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（3）现场淤泥质渣土防污染，脱水后再利用或外运。</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251"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光污</w:t>
            </w:r>
          </w:p>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染控</w:t>
            </w:r>
          </w:p>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制</w:t>
            </w: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（1）避免或减少施工过程中的光污染。夜间室外照明灯加设灯罩，透光方向集中在施工范围。</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采取有效的光污染控制措施，相关监管部门无投诉。</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915"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（2）电焊作业采取遮挡措施，避免电焊弧光外泄。</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施工现场电焊作业采取可行的遮挡措施。</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927"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噪声</w:t>
            </w:r>
          </w:p>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与震动控制</w:t>
            </w: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1）周边有噪声敏感区，时现场噪音排放不得超过国家标准《建筑施工场界噪声限值》（GB12523）的规定；在禁令时间内停止产生噪声的施工作业。应采用低噪音、低振动的机具进行施工；机械设备应定期保养维护。在施工场界对噪音进行不定期监测与控制。</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（1）采取的噪声与震动控制措施。</w:t>
            </w:r>
          </w:p>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（2）噪音监控点设置合理，噪音监测记录齐全，无投诉。</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284"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（2）施工噪音较大的机械设备应采取隔音与隔振措施。混凝土输送泵、电锯房、预制构件振动成型工位、大面积混凝土凿毛设备、空压机等应设有吸音降噪屏或其他降噪措施。</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（1）施工噪音较大的机械设备应设有吸音降噪屏或其他降噪措施。</w:t>
            </w:r>
          </w:p>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10"/>
                <w:sz w:val="24"/>
              </w:rPr>
              <w:t>合理安排工期，尽量减少夜间施工。</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Arial"/>
                <w:snapToGrid w:val="0"/>
                <w:color w:val="000000"/>
                <w:sz w:val="24"/>
              </w:rPr>
              <w:drawing>
                <wp:anchor distT="0" distB="0" distL="0" distR="0" simplePos="0" relativeHeight="251661312" behindDoc="0" locked="0" layoutInCell="1" allowOverlap="1">
                  <wp:simplePos x="0" y="0"/>
                  <wp:positionH relativeFrom="rightMargin">
                    <wp:posOffset>-49530</wp:posOffset>
                  </wp:positionH>
                  <wp:positionV relativeFrom="topMargin">
                    <wp:posOffset>7369175</wp:posOffset>
                  </wp:positionV>
                  <wp:extent cx="8890" cy="889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1"/>
                          <a:stretch>
                            <a:fillRect/>
                          </a:stretch>
                        </pic:blipFill>
                        <pic:spPr>
                          <a:xfrm>
                            <a:off x="0" y="0"/>
                            <a:ext cx="8890" cy="8890"/>
                          </a:xfrm>
                          <a:prstGeom prst="rect">
                            <a:avLst/>
                          </a:prstGeom>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585"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r>
              <w:rPr>
                <w:rFonts w:ascii="Times New Roman" w:hAnsi="Times New Roman" w:eastAsia="仿宋_GB2312" w:cs="Times New Roman"/>
                <w:snapToGrid w:val="0"/>
                <w:color w:val="auto"/>
                <w:spacing w:val="-10"/>
                <w:sz w:val="24"/>
              </w:rPr>
              <w:t>设置动态连续噪声监测设施。</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14"/>
                <w:sz w:val="24"/>
              </w:rPr>
            </w:pPr>
            <w:r>
              <w:rPr>
                <w:rFonts w:ascii="Times New Roman" w:hAnsi="Times New Roman" w:eastAsia="仿宋_GB2312" w:cs="Times New Roman"/>
                <w:snapToGrid w:val="0"/>
                <w:color w:val="auto"/>
                <w:sz w:val="24"/>
              </w:rPr>
              <w:t>（</w:t>
            </w:r>
            <w:r>
              <w:rPr>
                <w:rFonts w:ascii="Times New Roman" w:hAnsi="Times New Roman" w:eastAsia="仿宋_GB2312" w:cs="Times New Roman"/>
                <w:snapToGrid w:val="0"/>
                <w:color w:val="auto"/>
                <w:spacing w:val="-14"/>
                <w:sz w:val="24"/>
              </w:rPr>
              <w:t>1）设置动态连续噪声监测设施。</w:t>
            </w:r>
          </w:p>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14"/>
                <w:sz w:val="24"/>
              </w:rPr>
              <w:t>（2）进行噪声影响分析并采取针对性措施。</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3286" w:hRule="atLeast"/>
        </w:trPr>
        <w:tc>
          <w:tcPr>
            <w:tcW w:w="671"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6</w:t>
            </w:r>
          </w:p>
        </w:tc>
        <w:tc>
          <w:tcPr>
            <w:tcW w:w="66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施工用地以及设施保护</w:t>
            </w: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4"/>
                <w:sz w:val="24"/>
              </w:rPr>
              <w:t>施工现场内的文物古迹、古树名木及所发现的地下文物资源应采取有效的保护措施。施工过程避免水土流失，保护生态环境。</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保护施工范围内的文物古迹、古树名木、地下文物资源相关措施及记录。利用和保护施工用地范围内原有建筑、绿色植被等。建设占用耕地应当予以剥离保护再利用。保护原有生态。</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013"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6</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施工用地以及设施保护</w:t>
            </w: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6"/>
                <w:sz w:val="24"/>
              </w:rPr>
              <w:t>施工现场原有建筑物、构筑物、道路和管线的保护利用情况。</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临建设施充分利用既有建筑、市政设施和周边道路。</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3459"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（3）应对深基坑施工方案进行优化，减少土方开挖和回填量，最大限度地减少对土地的扰动，利用科学的方法保护水土资源。</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6"/>
                <w:sz w:val="24"/>
              </w:rPr>
              <w:t>优化深基坑施工方案，减少土方开挖和回填量。场地允许应预留土方进行回填利用。现场淤泥质渣土再利用或脱水后外运。未经相关政府管理部门许可，不得在农田、耕地、河流、湖泊、湿地弃渣</w:t>
            </w:r>
            <w:r>
              <w:rPr>
                <w:rFonts w:ascii="Times New Roman" w:hAnsi="Times New Roman" w:eastAsia="仿宋_GB2312" w:cs="Times New Roman"/>
                <w:snapToGrid w:val="0"/>
                <w:color w:val="auto"/>
                <w:sz w:val="24"/>
              </w:rPr>
              <w:t>。</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3499"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r>
              <w:rPr>
                <w:rFonts w:ascii="Times New Roman" w:hAnsi="Times New Roman" w:eastAsia="仿宋_GB2312" w:cs="Times New Roman"/>
                <w:snapToGrid w:val="0"/>
                <w:color w:val="auto"/>
                <w:spacing w:val="4"/>
                <w:sz w:val="24"/>
              </w:rPr>
              <w:t>科学合理设置场内的临时道路。</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施工现场临时道路布置应与原有及永久道路兼顾考虑，并应充分利用拟建道路为施工服务。采用钢板或预制混凝土铺装等可周转材料。现场道路的布置应方便运输同时满足消防要求。</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082"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（5）施工结束后进行所有红线内外临时占地的复垦、复绿等环境恢复措施。</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对临时占地的复垦、复绿等环境应恢复，留有记录资料。</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431"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7</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绿色建造施工与环境安全</w:t>
            </w: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（1）施工一次成优或达到省部级优质工程标准。达到省部级安全文明工地的标准。</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对</w:t>
            </w:r>
            <w:r>
              <w:rPr>
                <w:rFonts w:ascii="Times New Roman" w:hAnsi="Times New Roman" w:eastAsia="仿宋_GB2312" w:cs="Times New Roman"/>
                <w:snapToGrid w:val="0"/>
                <w:color w:val="auto"/>
                <w:spacing w:val="-6"/>
                <w:sz w:val="24"/>
              </w:rPr>
              <w:t>保证建筑结构安全、耐久性的技术措施进行相应检测。出具相关证明。</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767"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（2）绿色建造的质量控制要满足设计要求，依靠检测手段与检测记录，实现设计功能。有关节能环保要求的材料、设备进行相关检验、检测及验收。</w:t>
            </w:r>
          </w:p>
        </w:tc>
        <w:tc>
          <w:tcPr>
            <w:tcW w:w="2268"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对有节能、环保要求的建筑材料和设备进行相应检验并记录。</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600"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hint="eastAsia" w:ascii="Times New Roman" w:hAnsi="Times New Roman" w:eastAsia="仿宋_GB2312" w:cs="Times New Roman"/>
                <w:snapToGrid w:val="0"/>
                <w:color w:val="auto"/>
                <w:sz w:val="24"/>
              </w:rPr>
              <w:t>7</w:t>
            </w:r>
          </w:p>
        </w:tc>
        <w:tc>
          <w:tcPr>
            <w:tcW w:w="660"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绿色建造施工与环境安全</w:t>
            </w: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r>
              <w:rPr>
                <w:rFonts w:ascii="Times New Roman" w:hAnsi="Times New Roman" w:eastAsia="仿宋_GB2312" w:cs="Times New Roman"/>
                <w:snapToGrid w:val="0"/>
                <w:color w:val="auto"/>
                <w:spacing w:val="-6"/>
                <w:sz w:val="24"/>
              </w:rPr>
              <w:t>现场安全风险较大的分部分项施工应确保安全；超过一定规模危险性较大的分部分项工程应进行专家论证和实施过程管理控制。</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危险性较大的分部分项施工应有专家论证报告与过程管理及监控记录等。</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270"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660" w:type="dxa"/>
            <w:vMerge w:val="continue"/>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c>
          <w:tcPr>
            <w:tcW w:w="3603"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（4）对施工环境影响进行分析。</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pacing w:val="-2"/>
                <w:sz w:val="24"/>
              </w:rPr>
            </w:pPr>
            <w:r>
              <w:rPr>
                <w:rFonts w:ascii="Times New Roman" w:hAnsi="Times New Roman" w:eastAsia="仿宋_GB2312" w:cs="Times New Roman"/>
                <w:snapToGrid w:val="0"/>
                <w:color w:val="auto"/>
                <w:spacing w:val="-2"/>
                <w:sz w:val="24"/>
              </w:rPr>
              <w:t>环境影响解决方案。采用系统科学方法进行施工风控管理（风险回避、损失控制、风险转移和风险保留）。</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trPr>
        <w:tc>
          <w:tcPr>
            <w:tcW w:w="8948" w:type="dxa"/>
            <w:gridSpan w:val="6"/>
            <w:shd w:val="clear" w:color="auto" w:fill="auto"/>
            <w:vAlign w:val="center"/>
          </w:tcPr>
          <w:p>
            <w:pPr>
              <w:overflowPunct w:val="0"/>
              <w:spacing w:line="36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特色指标5分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557" w:hRule="atLeast"/>
        </w:trPr>
        <w:tc>
          <w:tcPr>
            <w:tcW w:w="671" w:type="dxa"/>
            <w:vMerge w:val="restart"/>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市政工程</w:t>
            </w:r>
          </w:p>
        </w:tc>
        <w:tc>
          <w:tcPr>
            <w:tcW w:w="4263" w:type="dxa"/>
            <w:gridSpan w:val="2"/>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（1）基坑开挖采用地下水保护技术、隔水支护系统等措施保护场地周围原有地下水形态。基坑抽水采用动态控制技术，尽量减少抽水量。</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利用科学的方案保护水土资源，避免地下水被污染和水土流失。</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193"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4263" w:type="dxa"/>
            <w:gridSpan w:val="2"/>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（2）拆除及爆破作业、桩头凿除、钢梁喷砂除锈、混凝土凿毛等作业，应采取降尘措施，并尽量采用环保工艺。</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扬尘控制措施与效果。</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543"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4263" w:type="dxa"/>
            <w:gridSpan w:val="2"/>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（3）钻孔桩作业采用泥浆循环利用系统，禁止外溢漫流。</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在施工现场应针对不同的污水，设置相应的处理设施，如沉淀池等。</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0"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4263" w:type="dxa"/>
            <w:gridSpan w:val="2"/>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（4）船舶进行水上、水下施工作业时，应编制施工方案，采取有效的防污染措施；施工船舶生活污水排放应符合排放标准；船舶的残油、废油应回收。</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水污染控制措施及效果。</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0" w:hRule="atLeast"/>
        </w:trPr>
        <w:tc>
          <w:tcPr>
            <w:tcW w:w="671" w:type="dxa"/>
            <w:vMerge w:val="continue"/>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p>
        </w:tc>
        <w:tc>
          <w:tcPr>
            <w:tcW w:w="4263" w:type="dxa"/>
            <w:gridSpan w:val="2"/>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（5）未经相关部门许可，不得在农田、耕地、河流、湖泊、湿地弃渣。在生态脆弱的地区施工完成后，进行地貌复原。</w:t>
            </w:r>
          </w:p>
        </w:tc>
        <w:tc>
          <w:tcPr>
            <w:tcW w:w="2268"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施工用地保护措施和效果。</w:t>
            </w:r>
          </w:p>
        </w:tc>
        <w:tc>
          <w:tcPr>
            <w:tcW w:w="850" w:type="dxa"/>
            <w:shd w:val="clear" w:color="auto" w:fill="auto"/>
            <w:vAlign w:val="center"/>
          </w:tcPr>
          <w:p>
            <w:pPr>
              <w:overflowPunct w:val="0"/>
              <w:spacing w:line="36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6" w:type="dxa"/>
            <w:shd w:val="clear" w:color="auto" w:fill="auto"/>
            <w:vAlign w:val="center"/>
          </w:tcPr>
          <w:p>
            <w:pPr>
              <w:overflowPunct w:val="0"/>
              <w:spacing w:line="360" w:lineRule="exact"/>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r>
        <w:rPr>
          <w:rFonts w:hint="eastAsia" w:ascii="仿宋_GB2312" w:hAnsi="宋体" w:eastAsia="仿宋_GB2312" w:cs="宋体"/>
          <w:sz w:val="24"/>
          <w:szCs w:val="24"/>
        </w:rPr>
        <w:t>日期：</w:t>
      </w:r>
      <w:r>
        <w:rPr>
          <w:rFonts w:ascii="宋体" w:hAnsi="宋体" w:cs="宋体"/>
          <w:spacing w:val="-20"/>
          <w:w w:val="94"/>
        </w:rPr>
        <w:br w:type="page"/>
      </w:r>
    </w:p>
    <w:p>
      <w:pPr>
        <w:pStyle w:val="23"/>
        <w:kinsoku w:val="0"/>
        <w:overflowPunct w:val="0"/>
        <w:autoSpaceDE w:val="0"/>
        <w:autoSpaceDN w:val="0"/>
        <w:spacing w:before="249" w:beforeLines="80" w:after="312" w:afterLines="100" w:line="579" w:lineRule="exact"/>
        <w:ind w:firstLine="0" w:firstLineChars="0"/>
        <w:jc w:val="center"/>
        <w:textAlignment w:val="center"/>
        <w:rPr>
          <w:rFonts w:ascii="方正小标宋_GBK" w:hAnsi="黑体" w:eastAsia="方正小标宋_GBK" w:cs="宋体"/>
          <w:sz w:val="38"/>
          <w:szCs w:val="38"/>
        </w:rPr>
      </w:pPr>
      <w:r>
        <w:rPr>
          <w:rFonts w:ascii="方正小标宋_GBK" w:hAnsi="黑体" w:eastAsia="方正小标宋_GBK" w:cs="宋体"/>
          <w:sz w:val="38"/>
          <w:szCs w:val="38"/>
        </w:rPr>
        <w:t>三、</w:t>
      </w:r>
      <w:bookmarkStart w:id="8" w:name="_Hlk99225765"/>
      <w:r>
        <w:rPr>
          <w:rFonts w:ascii="方正小标宋_GBK" w:hAnsi="黑体" w:eastAsia="方正小标宋_GBK" w:cs="宋体"/>
          <w:sz w:val="38"/>
          <w:szCs w:val="38"/>
        </w:rPr>
        <w:t>资源节约与循环利用（40分）</w:t>
      </w:r>
      <w:bookmarkEnd w:id="8"/>
    </w:p>
    <w:p>
      <w:pPr>
        <w:spacing w:line="360" w:lineRule="exact"/>
        <w:rPr>
          <w:rFonts w:ascii="Times New Roman" w:hAnsi="Times New Roman" w:eastAsia="仿宋_GB2312"/>
          <w:b/>
          <w:spacing w:val="-2"/>
          <w:sz w:val="24"/>
        </w:rPr>
      </w:pPr>
      <w:bookmarkStart w:id="9" w:name="_Hlk107230982"/>
      <w:r>
        <w:rPr>
          <w:rFonts w:hint="eastAsia" w:ascii="Times New Roman" w:hAnsi="Times New Roman" w:eastAsia="仿宋_GB2312"/>
          <w:b/>
          <w:spacing w:val="-2"/>
          <w:sz w:val="24"/>
        </w:rPr>
        <w:t>工程名称：</w:t>
      </w:r>
      <w:bookmarkEnd w:id="9"/>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表3</w:t>
      </w:r>
      <w:r>
        <w:rPr>
          <w:rFonts w:hint="eastAsia" w:ascii="方正书宋_GBK" w:hAnsi="Times New Roman" w:eastAsia="方正书宋_GBK"/>
          <w:spacing w:val="-2"/>
          <w:sz w:val="24"/>
        </w:rPr>
        <w:t>-</w:t>
      </w:r>
      <w:r>
        <w:rPr>
          <w:rFonts w:ascii="Times New Roman" w:hAnsi="Times New Roman" w:eastAsia="黑体"/>
          <w:spacing w:val="-2"/>
          <w:sz w:val="24"/>
        </w:rPr>
        <w:t>1：材料资源节约与循环利用指标12分</w:t>
      </w:r>
    </w:p>
    <w:tbl>
      <w:tblPr>
        <w:tblStyle w:val="25"/>
        <w:tblW w:w="894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00"/>
        <w:gridCol w:w="790"/>
        <w:gridCol w:w="3402"/>
        <w:gridCol w:w="2457"/>
        <w:gridCol w:w="900"/>
        <w:gridCol w:w="7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 w:hRule="atLeast"/>
          <w:tblHeader/>
          <w:jc w:val="center"/>
        </w:trPr>
        <w:tc>
          <w:tcPr>
            <w:tcW w:w="600" w:type="dxa"/>
            <w:shd w:val="clear" w:color="auto" w:fill="auto"/>
            <w:vAlign w:val="center"/>
          </w:tcPr>
          <w:p>
            <w:pPr>
              <w:overflowPunct w:val="0"/>
              <w:spacing w:line="35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4192" w:type="dxa"/>
            <w:gridSpan w:val="2"/>
            <w:shd w:val="clear" w:color="auto" w:fill="auto"/>
            <w:vAlign w:val="center"/>
          </w:tcPr>
          <w:p>
            <w:pPr>
              <w:overflowPunct w:val="0"/>
              <w:spacing w:line="35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457" w:type="dxa"/>
            <w:shd w:val="clear" w:color="auto" w:fill="auto"/>
            <w:vAlign w:val="center"/>
          </w:tcPr>
          <w:p>
            <w:pPr>
              <w:overflowPunct w:val="0"/>
              <w:spacing w:line="35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900" w:type="dxa"/>
            <w:shd w:val="clear" w:color="auto" w:fill="auto"/>
            <w:vAlign w:val="center"/>
          </w:tcPr>
          <w:p>
            <w:pPr>
              <w:overflowPunct w:val="0"/>
              <w:spacing w:line="35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796" w:type="dxa"/>
            <w:shd w:val="clear" w:color="auto" w:fill="auto"/>
            <w:vAlign w:val="center"/>
          </w:tcPr>
          <w:p>
            <w:pPr>
              <w:overflowPunct w:val="0"/>
              <w:spacing w:line="35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 w:hRule="atLeast"/>
          <w:jc w:val="center"/>
        </w:trPr>
        <w:tc>
          <w:tcPr>
            <w:tcW w:w="8945" w:type="dxa"/>
            <w:gridSpan w:val="6"/>
            <w:shd w:val="clear" w:color="auto" w:fill="auto"/>
            <w:vAlign w:val="center"/>
          </w:tcPr>
          <w:p>
            <w:pPr>
              <w:overflowPunct w:val="0"/>
              <w:spacing w:line="35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常规指标8分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781" w:hRule="atLeast"/>
          <w:jc w:val="center"/>
        </w:trPr>
        <w:tc>
          <w:tcPr>
            <w:tcW w:w="600" w:type="dxa"/>
            <w:vMerge w:val="restart"/>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90" w:type="dxa"/>
            <w:vMerge w:val="restart"/>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position w:val="5"/>
                <w:sz w:val="24"/>
              </w:rPr>
              <w:t>材料</w:t>
            </w:r>
            <w:r>
              <w:rPr>
                <w:rFonts w:ascii="Times New Roman" w:hAnsi="Times New Roman" w:eastAsia="仿宋_GB2312" w:cs="Times New Roman"/>
                <w:snapToGrid w:val="0"/>
                <w:color w:val="auto"/>
                <w:sz w:val="24"/>
              </w:rPr>
              <w:t>资源节约</w:t>
            </w: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（1）根据工程情况，科学合理部署，因地制宜，遵循可持续发展原则，采用先进的技术手段选择适用的材料资源，制定合理节材料目标。</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科学合理部署施工，因地制宜，合理降低材料的投入。</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914" w:hRule="atLeast"/>
          <w:jc w:val="center"/>
        </w:trPr>
        <w:tc>
          <w:tcPr>
            <w:tcW w:w="60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79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（2）采用设计优化、方案优化措施，应有明显的节材效果。</w:t>
            </w:r>
          </w:p>
        </w:tc>
        <w:tc>
          <w:tcPr>
            <w:tcW w:w="2457" w:type="dxa"/>
            <w:shd w:val="clear" w:color="auto" w:fill="auto"/>
            <w:vAlign w:val="center"/>
          </w:tcPr>
          <w:p>
            <w:pPr>
              <w:overflowPunct w:val="0"/>
              <w:spacing w:line="350" w:lineRule="exact"/>
              <w:jc w:val="lef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优化设计、施工方案，节材措施与效果明显。</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583" w:hRule="atLeast"/>
          <w:jc w:val="center"/>
        </w:trPr>
        <w:tc>
          <w:tcPr>
            <w:tcW w:w="60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79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（3）主要建材损耗率比定额损耗率低30%以上（地方定额）。材料采购、物控充分利用物联网。钢筋集中加工配送，钢筋采用模块化施工设计。</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（1）加强管理和采取先进的科学技术措施等减低损耗。</w:t>
            </w:r>
          </w:p>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（2）充分利用物联网技术管控物资、设备，提高材料管控的高能效。</w:t>
            </w:r>
          </w:p>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（3）钢筋采用集中加工和模块化施工，节约材料，提高工效。</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00" w:type="dxa"/>
            <w:vMerge w:val="restart"/>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0" w:type="dxa"/>
            <w:vMerge w:val="restart"/>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position w:val="5"/>
                <w:sz w:val="24"/>
              </w:rPr>
              <w:t>循环</w:t>
            </w:r>
            <w:r>
              <w:rPr>
                <w:rFonts w:ascii="Times New Roman" w:hAnsi="Times New Roman" w:eastAsia="仿宋_GB2312" w:cs="Times New Roman"/>
                <w:snapToGrid w:val="0"/>
                <w:color w:val="auto"/>
                <w:sz w:val="24"/>
              </w:rPr>
              <w:t>再利用</w:t>
            </w: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（1）应选用耐用、维护与拆卸方便的周转材料。</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根据结构形式，合理选择周转频次高的模板、脚手架等周转材料。可重复使用率大于70%。</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0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790" w:type="dxa"/>
            <w:vMerge w:val="continue"/>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（2）模板应以节约自然资源为原则，推广使用管件合一的脚手架和支撑体系，推广使用工具式模板新型模板材料。采取措施提高模板、脚手架等材料的周转次数。</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（1）施工前对模板工程的方案进行优化。</w:t>
            </w:r>
          </w:p>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（2）模板、脚手架和其他周转材料使用情况及使用次数的统计数据。</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240" w:hRule="atLeast"/>
          <w:jc w:val="center"/>
        </w:trPr>
        <w:tc>
          <w:tcPr>
            <w:tcW w:w="6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position w:val="5"/>
                <w:sz w:val="24"/>
              </w:rPr>
              <w:t>循环</w:t>
            </w:r>
            <w:r>
              <w:rPr>
                <w:rFonts w:ascii="Times New Roman" w:hAnsi="Times New Roman" w:eastAsia="仿宋_GB2312" w:cs="Times New Roman"/>
                <w:snapToGrid w:val="0"/>
                <w:color w:val="auto"/>
                <w:sz w:val="24"/>
              </w:rPr>
              <w:t>再利用</w:t>
            </w:r>
          </w:p>
        </w:tc>
        <w:tc>
          <w:tcPr>
            <w:tcW w:w="3402"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（3）临建设施预制装配化。工程余料重复使用。安全防护应定型化、工具化、标准化、可拆迁，采用可回收材料。</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（1）临建设施标准化，环保型可拆装装配式活动房，厕所、浴室、门卫室提倡使用环保型整体式钢板房，加强使用维护重复使用。</w:t>
            </w:r>
          </w:p>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（2）加工和施工过程产生的余料重复使用，做好记录。</w:t>
            </w:r>
          </w:p>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r>
              <w:rPr>
                <w:rFonts w:ascii="Times New Roman" w:hAnsi="Times New Roman" w:eastAsia="仿宋_GB2312" w:cs="Times New Roman"/>
                <w:snapToGrid w:val="0"/>
                <w:color w:val="auto"/>
                <w:spacing w:val="-6"/>
                <w:sz w:val="24"/>
              </w:rPr>
              <w:t>安全防护定型化、工具化、标准化、采用拆迁、可回收材料。</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shd w:val="clear" w:color="auto" w:fill="auto"/>
            <w:vAlign w:val="center"/>
          </w:tcPr>
          <w:p>
            <w:pPr>
              <w:overflowPunct w:val="0"/>
              <w:spacing w:line="35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特色指标4分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549" w:hRule="atLeast"/>
          <w:jc w:val="center"/>
        </w:trPr>
        <w:tc>
          <w:tcPr>
            <w:tcW w:w="6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市政工程</w:t>
            </w:r>
          </w:p>
        </w:tc>
        <w:tc>
          <w:tcPr>
            <w:tcW w:w="4192" w:type="dxa"/>
            <w:gridSpan w:val="2"/>
            <w:shd w:val="clear" w:color="auto" w:fill="auto"/>
            <w:vAlign w:val="center"/>
          </w:tcPr>
          <w:p>
            <w:pPr>
              <w:overflowPunct w:val="0"/>
              <w:spacing w:line="350" w:lineRule="exact"/>
              <w:jc w:val="lef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（1）施工临时结构宜标准化设计、工厂化制造、装配化安装，优先采用既有周转材料和设备。</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模板、脚手架、其他周转材料的周转次数、周转使用情况及使用次数的统计数据。</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298" w:hRule="atLeast"/>
          <w:jc w:val="center"/>
        </w:trPr>
        <w:tc>
          <w:tcPr>
            <w:tcW w:w="6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c>
          <w:tcPr>
            <w:tcW w:w="4192" w:type="dxa"/>
            <w:gridSpan w:val="2"/>
            <w:shd w:val="clear" w:color="auto" w:fill="auto"/>
            <w:vAlign w:val="center"/>
          </w:tcPr>
          <w:p>
            <w:pPr>
              <w:overflowPunct w:val="0"/>
              <w:spacing w:line="350" w:lineRule="exact"/>
              <w:jc w:val="lef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（2）施工支架、操作平台等设计宜充分利用主体结构。桥梁高墩盖梁、墩顶现浇梁段宜采用预埋式支承托架。</w:t>
            </w:r>
          </w:p>
        </w:tc>
        <w:tc>
          <w:tcPr>
            <w:tcW w:w="2457" w:type="dxa"/>
            <w:shd w:val="clear" w:color="auto" w:fill="auto"/>
            <w:vAlign w:val="center"/>
          </w:tcPr>
          <w:p>
            <w:pPr>
              <w:overflowPunct w:val="0"/>
              <w:spacing w:line="35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方案优化情况。</w:t>
            </w:r>
          </w:p>
        </w:tc>
        <w:tc>
          <w:tcPr>
            <w:tcW w:w="900"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96" w:type="dxa"/>
            <w:shd w:val="clear" w:color="auto" w:fill="auto"/>
            <w:vAlign w:val="center"/>
          </w:tcPr>
          <w:p>
            <w:pPr>
              <w:overflowPunct w:val="0"/>
              <w:spacing w:line="350" w:lineRule="exact"/>
              <w:jc w:val="center"/>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r>
        <w:rPr>
          <w:rFonts w:hint="eastAsia" w:ascii="仿宋_GB2312" w:hAnsi="宋体" w:eastAsia="仿宋_GB2312" w:cs="宋体"/>
          <w:sz w:val="24"/>
          <w:szCs w:val="24"/>
        </w:rPr>
        <w:t>日期：</w:t>
      </w:r>
      <w:r>
        <w:rPr>
          <w:rFonts w:ascii="宋体" w:hAnsi="宋体" w:cs="宋体"/>
          <w:spacing w:val="-20"/>
          <w:w w:val="94"/>
        </w:rPr>
        <w:br w:type="page"/>
      </w:r>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表3</w:t>
      </w:r>
      <w:r>
        <w:rPr>
          <w:rFonts w:hint="eastAsia" w:ascii="方正书宋_GBK" w:hAnsi="Times New Roman" w:eastAsia="方正书宋_GBK"/>
          <w:spacing w:val="-2"/>
          <w:sz w:val="24"/>
        </w:rPr>
        <w:t>-</w:t>
      </w:r>
      <w:r>
        <w:rPr>
          <w:rFonts w:ascii="Times New Roman" w:hAnsi="Times New Roman" w:eastAsia="黑体"/>
          <w:spacing w:val="-2"/>
          <w:sz w:val="24"/>
        </w:rPr>
        <w:t>2：建筑垃圾控制和循环利用指标8分</w:t>
      </w:r>
    </w:p>
    <w:p>
      <w:pPr>
        <w:spacing w:line="49" w:lineRule="exact"/>
        <w:ind w:firstLine="420"/>
      </w:pPr>
    </w:p>
    <w:tbl>
      <w:tblPr>
        <w:tblStyle w:val="25"/>
        <w:tblW w:w="8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21"/>
        <w:gridCol w:w="709"/>
        <w:gridCol w:w="3820"/>
        <w:gridCol w:w="2099"/>
        <w:gridCol w:w="945"/>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621" w:type="dxa"/>
            <w:tcBorders>
              <w:top w:val="single" w:color="000000" w:sz="8"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452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099" w:type="dxa"/>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945" w:type="dxa"/>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751" w:type="dxa"/>
            <w:tcBorders>
              <w:top w:val="single" w:color="000000" w:sz="8"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tcBorders>
              <w:top w:val="single" w:color="000000" w:sz="4" w:space="0"/>
              <w:left w:val="single" w:color="000000" w:sz="8"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常规指标4分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97" w:hRule="atLeast"/>
          <w:jc w:val="center"/>
        </w:trPr>
        <w:tc>
          <w:tcPr>
            <w:tcW w:w="62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建筑垃圾控制</w:t>
            </w: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（1）制定合理的建筑垃圾目标以及施工全过程垃圾减量化措施。建筑垃圾按阶段进行统计分类计算，回收利用率达到30%。</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（1）施工全过程垃圾减量化措施科学合理有效。</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（2）核查建筑垃圾的回收利用率。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76" w:hRule="atLeast"/>
          <w:jc w:val="center"/>
        </w:trPr>
        <w:tc>
          <w:tcPr>
            <w:tcW w:w="62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2"/>
                <w:sz w:val="24"/>
              </w:rPr>
              <w:t>垃圾应分为可回收利用与不可回收利用两类。并定期清运，动态管理。建筑垃圾应按有关规定合规处置，细化分类收集、集中堆放存放。与有资质单位签订处置协议。</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垃圾分类情况及清运记录；有毒、有害废物分类、存放及回收情况；有毒有害废弃物处置措施及记录。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24" w:hRule="atLeast"/>
          <w:jc w:val="center"/>
        </w:trPr>
        <w:tc>
          <w:tcPr>
            <w:tcW w:w="62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（3）采用有效的建筑垃圾监控措施，动态管理计量准确。</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建立有效的系统管理，自动监测措施有效，固体废弃物动态计量数据准确，有记录。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96" w:hRule="atLeast"/>
          <w:jc w:val="center"/>
        </w:trPr>
        <w:tc>
          <w:tcPr>
            <w:tcW w:w="62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建筑垃圾控制循环利用</w:t>
            </w: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（1）优先采用可再利用材料和可再循环材料，以及以建筑垃圾为原料生产的达标建筑材料。</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可再利用材料和可再循环材料回收使用情况记录。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431" w:hRule="atLeast"/>
          <w:jc w:val="center"/>
        </w:trPr>
        <w:tc>
          <w:tcPr>
            <w:tcW w:w="62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（2）建筑材料包装物应及时回收，并按相关规定管理、利用和处理。生活、办公用品宜循环利用，废品应回收。</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建筑材料包装物回收利用记录。生活、办公废品分类回收记录。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3</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359" w:hRule="atLeast"/>
          <w:jc w:val="center"/>
        </w:trPr>
        <w:tc>
          <w:tcPr>
            <w:tcW w:w="62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820"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（3）采用建筑垃圾循环利用的方法措施，较少垃圾的排放量。碎石类、土石方类建筑垃圾宜用作地基和路基回填材料或破碎作为骨料使用。</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（1）建筑垃圾循环利用计划、方法，产生的实效和过程记录。</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（2）采用全自动设备对废石、废混凝土等破碎作为骨料使用。碎石类、土石方类使用和重复利用记录。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7</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tcBorders>
              <w:top w:val="single" w:color="000000" w:sz="4" w:space="0"/>
              <w:left w:val="single" w:color="000000" w:sz="8"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特色指标4分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47" w:hRule="atLeast"/>
          <w:jc w:val="center"/>
        </w:trPr>
        <w:tc>
          <w:tcPr>
            <w:tcW w:w="621" w:type="dxa"/>
            <w:vMerge w:val="restart"/>
            <w:tcBorders>
              <w:top w:val="single" w:color="000000" w:sz="4" w:space="0"/>
              <w:left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市政工程</w:t>
            </w:r>
          </w:p>
        </w:tc>
        <w:tc>
          <w:tcPr>
            <w:tcW w:w="4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（1）水上施工区及船舶生活垃圾定期由驳船运至岸上统一集中处理。</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工程垃圾的回收与</w:t>
            </w:r>
            <w:r>
              <w:rPr>
                <w:rFonts w:ascii="Times New Roman" w:hAnsi="Times New Roman" w:eastAsia="仿宋_GB2312" w:cs="Times New Roman"/>
                <w:snapToGrid w:val="0"/>
                <w:color w:val="auto"/>
                <w:spacing w:val="-10"/>
                <w:sz w:val="24"/>
              </w:rPr>
              <w:t>再利用措施及效果。</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47" w:hRule="atLeast"/>
          <w:jc w:val="center"/>
        </w:trPr>
        <w:tc>
          <w:tcPr>
            <w:tcW w:w="621" w:type="dxa"/>
            <w:vMerge w:val="continue"/>
            <w:tcBorders>
              <w:left w:val="single" w:color="000000" w:sz="8" w:space="0"/>
              <w:bottom w:val="single" w:color="000000" w:sz="1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4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仿宋_GB2312" w:cs="Times New Roman"/>
                <w:snapToGrid w:val="0"/>
                <w:color w:val="auto"/>
                <w:spacing w:val="-10"/>
                <w:sz w:val="24"/>
              </w:rPr>
              <w:t>建筑垃圾产生量比目标值低10%以上。</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建筑垃圾排放手续合规、废弃物排放清运记录、管理台账等。</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47" w:hRule="atLeast"/>
          <w:jc w:val="center"/>
        </w:trPr>
        <w:tc>
          <w:tcPr>
            <w:tcW w:w="621" w:type="dxa"/>
            <w:vMerge w:val="continue"/>
            <w:tcBorders>
              <w:top w:val="single" w:color="000000" w:sz="18" w:space="0"/>
              <w:left w:val="single" w:color="000000" w:sz="8"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4529"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（3）建筑垃圾回收利用率达到50%。</w:t>
            </w:r>
          </w:p>
        </w:tc>
        <w:tc>
          <w:tcPr>
            <w:tcW w:w="2099"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建筑垃圾回收利用记录台账。</w:t>
            </w:r>
          </w:p>
        </w:tc>
        <w:tc>
          <w:tcPr>
            <w:tcW w:w="945"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tcBorders>
              <w:top w:val="single" w:color="000000" w:sz="4" w:space="0"/>
              <w:left w:val="single" w:color="000000" w:sz="4" w:space="0"/>
              <w:bottom w:val="single" w:color="000000" w:sz="8"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Arial"/>
                <w:snapToGrid w:val="0"/>
                <w:color w:val="000000"/>
                <w:sz w:val="24"/>
              </w:rPr>
              <w:drawing>
                <wp:anchor distT="0" distB="0" distL="0" distR="0" simplePos="0" relativeHeight="251660288" behindDoc="0" locked="0" layoutInCell="1" allowOverlap="1">
                  <wp:simplePos x="0" y="0"/>
                  <wp:positionH relativeFrom="rightMargin">
                    <wp:posOffset>-38735</wp:posOffset>
                  </wp:positionH>
                  <wp:positionV relativeFrom="topMargin">
                    <wp:posOffset>5427980</wp:posOffset>
                  </wp:positionV>
                  <wp:extent cx="8890" cy="889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1"/>
                          <a:stretch>
                            <a:fillRect/>
                          </a:stretch>
                        </pic:blipFill>
                        <pic:spPr>
                          <a:xfrm>
                            <a:off x="0" y="0"/>
                            <a:ext cx="8890" cy="8890"/>
                          </a:xfrm>
                          <a:prstGeom prst="rect">
                            <a:avLst/>
                          </a:prstGeom>
                        </pic:spPr>
                      </pic:pic>
                    </a:graphicData>
                  </a:graphic>
                </wp:anchor>
              </w:drawing>
            </w:r>
          </w:p>
        </w:tc>
      </w:tr>
    </w:tbl>
    <w:p>
      <w:pPr>
        <w:pStyle w:val="23"/>
        <w:kinsoku w:val="0"/>
        <w:overflowPunct w:val="0"/>
        <w:autoSpaceDE w:val="0"/>
        <w:autoSpaceDN w:val="0"/>
        <w:spacing w:before="93" w:beforeLines="30" w:line="360" w:lineRule="exact"/>
        <w:ind w:left="4740" w:leftChars="200" w:hanging="4320" w:hangingChars="1800"/>
        <w:textAlignment w:val="center"/>
        <w:rPr>
          <w:rFonts w:hint="eastAsia" w:ascii="仿宋_GB2312" w:eastAsia="仿宋_GB2312"/>
          <w:sz w:val="24"/>
          <w:szCs w:val="24"/>
          <w:lang w:eastAsia="zh-CN"/>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p>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日期：</w:t>
      </w:r>
      <w:r>
        <w:rPr>
          <w:rFonts w:ascii="宋体" w:hAnsi="宋体" w:cs="宋体"/>
          <w:spacing w:val="-20"/>
          <w:w w:val="94"/>
        </w:rPr>
        <w:br w:type="page"/>
      </w:r>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表3</w:t>
      </w:r>
      <w:r>
        <w:rPr>
          <w:rFonts w:hint="eastAsia" w:ascii="方正书宋_GBK" w:hAnsi="Times New Roman" w:eastAsia="方正书宋_GBK"/>
          <w:spacing w:val="-2"/>
          <w:sz w:val="24"/>
        </w:rPr>
        <w:t>-</w:t>
      </w:r>
      <w:r>
        <w:rPr>
          <w:rFonts w:ascii="Times New Roman" w:hAnsi="Times New Roman" w:eastAsia="黑体"/>
          <w:spacing w:val="-2"/>
          <w:sz w:val="24"/>
        </w:rPr>
        <w:t>3：水资源节约与利用指标10分</w:t>
      </w:r>
    </w:p>
    <w:tbl>
      <w:tblPr>
        <w:tblStyle w:val="25"/>
        <w:tblW w:w="8945" w:type="dxa"/>
        <w:jc w:val="center"/>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28"/>
        <w:gridCol w:w="616"/>
        <w:gridCol w:w="2839"/>
        <w:gridCol w:w="3201"/>
        <w:gridCol w:w="910"/>
        <w:gridCol w:w="751"/>
      </w:tblGrid>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 w:hRule="atLeast"/>
          <w:jc w:val="center"/>
        </w:trPr>
        <w:tc>
          <w:tcPr>
            <w:tcW w:w="628"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455" w:type="dxa"/>
            <w:gridSpan w:val="2"/>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3201"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910"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751"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 w:hRule="atLeast"/>
          <w:jc w:val="center"/>
        </w:trPr>
        <w:tc>
          <w:tcPr>
            <w:tcW w:w="8945" w:type="dxa"/>
            <w:gridSpan w:val="6"/>
            <w:shd w:val="clear" w:color="auto" w:fill="auto"/>
            <w:vAlign w:val="center"/>
          </w:tcPr>
          <w:p>
            <w:pPr>
              <w:overflowPunct w:val="0"/>
              <w:spacing w:line="34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常规指标6分</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restart"/>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616" w:type="dxa"/>
            <w:vMerge w:val="restart"/>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水资</w:t>
            </w:r>
          </w:p>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源节</w:t>
            </w:r>
          </w:p>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约</w:t>
            </w: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（1）加强施工用水全面管理，生产、生活用水安全达标。</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在签订工程分包或劳务合同时，应将节水定额指标纳入合同条款，安全节约用水，进行计量考核。</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616"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（2）应根据工程特点和施工现场情况，分别确定生活用水与工程用水定额指标，并分别进行计量考核管理。</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不同阶段、用途用水计量情况及用水量统计结果、计量记录。施工阶段目标耗水量及各阶段对比分析。</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616"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（3）施工现场办公区、生活区的生活用水采用节水系统和节水器具，配置率达100%。</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节水器具配置率达100%。施工现场供水管网布置应简捷、合理，减少漏损。</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417" w:hRule="atLeast"/>
          <w:jc w:val="center"/>
        </w:trPr>
        <w:tc>
          <w:tcPr>
            <w:tcW w:w="628"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616"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（4）施工现场应建立可再利用水的收集处理系统，使水资源得到梯级循环利用。</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现场机具、设备、车辆冲洗、生活用水等设立循环用水装置。循环水水要符合标准使用安全。</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restart"/>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616" w:type="dxa"/>
            <w:vMerge w:val="restart"/>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水资</w:t>
            </w:r>
          </w:p>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源循</w:t>
            </w:r>
          </w:p>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环利</w:t>
            </w:r>
          </w:p>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用</w:t>
            </w: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6"/>
                <w:sz w:val="24"/>
              </w:rPr>
              <w:t>施工现场应优先采用经检测合格的非传统水。</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用于施工的非传统水的水质检测报告。</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616"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（2）基坑降排水应存储使用。喷洒路面、绿化浇灌应采用非自来水源。</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基坑降排水、非传统水，循环水利用情况及效果。</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28"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616" w:type="dxa"/>
            <w:vMerge w:val="continue"/>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（3）施工现场应根据地域情况进行非传统用水的收集，建立雨水收集利用系统。</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施工现场进行非传统用水的收集，建立雨水收集利用系统</w:t>
            </w:r>
            <w:r>
              <w:rPr>
                <w:rFonts w:hint="eastAsia" w:ascii="Times New Roman" w:hAnsi="Times New Roman" w:eastAsia="仿宋_GB2312" w:cs="Times New Roman"/>
                <w:snapToGrid w:val="0"/>
                <w:color w:val="auto"/>
                <w:sz w:val="24"/>
              </w:rPr>
              <w:t>，</w:t>
            </w:r>
            <w:r>
              <w:rPr>
                <w:rFonts w:ascii="Times New Roman" w:hAnsi="Times New Roman" w:eastAsia="仿宋_GB2312" w:cs="Times New Roman"/>
                <w:snapToGrid w:val="0"/>
                <w:color w:val="auto"/>
                <w:sz w:val="24"/>
              </w:rPr>
              <w:t>节约用水。</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 w:hRule="atLeast"/>
          <w:jc w:val="center"/>
        </w:trPr>
        <w:tc>
          <w:tcPr>
            <w:tcW w:w="8945" w:type="dxa"/>
            <w:gridSpan w:val="6"/>
            <w:shd w:val="clear" w:color="auto" w:fill="auto"/>
            <w:vAlign w:val="center"/>
          </w:tcPr>
          <w:p>
            <w:pPr>
              <w:overflowPunct w:val="0"/>
              <w:spacing w:line="34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特色指标4分</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1244" w:type="dxa"/>
            <w:gridSpan w:val="2"/>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市政工程</w:t>
            </w:r>
          </w:p>
        </w:tc>
        <w:tc>
          <w:tcPr>
            <w:tcW w:w="2839"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（1）混凝土养护采用覆膜、喷淋等节水工艺，混凝土标准养护室采用雾化养护系统。</w:t>
            </w:r>
          </w:p>
        </w:tc>
        <w:tc>
          <w:tcPr>
            <w:tcW w:w="3201" w:type="dxa"/>
            <w:shd w:val="clear" w:color="auto" w:fill="auto"/>
            <w:vAlign w:val="center"/>
          </w:tcPr>
          <w:p>
            <w:pPr>
              <w:overflowPunct w:val="0"/>
              <w:spacing w:line="34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现场节水装置，用水量情况记录</w:t>
            </w:r>
            <w:r>
              <w:rPr>
                <w:rFonts w:hint="eastAsia" w:ascii="Times New Roman" w:hAnsi="Times New Roman" w:eastAsia="仿宋_GB2312" w:cs="Times New Roman"/>
                <w:snapToGrid w:val="0"/>
                <w:color w:val="auto"/>
                <w:sz w:val="24"/>
              </w:rPr>
              <w:t>。</w:t>
            </w:r>
          </w:p>
        </w:tc>
        <w:tc>
          <w:tcPr>
            <w:tcW w:w="910"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51" w:type="dxa"/>
            <w:shd w:val="clear" w:color="auto" w:fill="auto"/>
            <w:vAlign w:val="center"/>
          </w:tcPr>
          <w:p>
            <w:pPr>
              <w:overflowPunct w:val="0"/>
              <w:spacing w:line="340" w:lineRule="exact"/>
              <w:jc w:val="center"/>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r>
        <w:rPr>
          <w:rFonts w:hint="eastAsia" w:ascii="仿宋_GB2312" w:hAnsi="宋体" w:eastAsia="仿宋_GB2312" w:cs="宋体"/>
          <w:sz w:val="24"/>
          <w:szCs w:val="24"/>
        </w:rPr>
        <w:t>日期：</w:t>
      </w:r>
      <w:r>
        <w:rPr>
          <w:rFonts w:ascii="宋体" w:hAnsi="宋体" w:cs="宋体"/>
          <w:spacing w:val="-20"/>
          <w:w w:val="94"/>
        </w:rPr>
        <w:br w:type="page"/>
      </w:r>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表3</w:t>
      </w:r>
      <w:r>
        <w:rPr>
          <w:rFonts w:hint="eastAsia" w:ascii="方正书宋_GBK" w:hAnsi="Times New Roman" w:eastAsia="方正书宋_GBK"/>
          <w:spacing w:val="-2"/>
          <w:sz w:val="24"/>
        </w:rPr>
        <w:t>-</w:t>
      </w:r>
      <w:r>
        <w:rPr>
          <w:rFonts w:ascii="Times New Roman" w:hAnsi="Times New Roman" w:eastAsia="黑体"/>
          <w:spacing w:val="-2"/>
          <w:sz w:val="24"/>
        </w:rPr>
        <w:t>4：能源节约与利用指标10分</w:t>
      </w:r>
    </w:p>
    <w:tbl>
      <w:tblPr>
        <w:tblStyle w:val="25"/>
        <w:tblW w:w="894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81"/>
        <w:gridCol w:w="851"/>
        <w:gridCol w:w="2409"/>
        <w:gridCol w:w="3253"/>
        <w:gridCol w:w="858"/>
        <w:gridCol w:w="89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tblHeader/>
          <w:jc w:val="center"/>
        </w:trPr>
        <w:tc>
          <w:tcPr>
            <w:tcW w:w="681"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260" w:type="dxa"/>
            <w:gridSpan w:val="2"/>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3253"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858"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893" w:type="dxa"/>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pacing w:val="-3"/>
                <w:sz w:val="24"/>
              </w:rPr>
              <w:t>常规指标6分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475" w:hRule="atLeast"/>
          <w:jc w:val="center"/>
        </w:trPr>
        <w:tc>
          <w:tcPr>
            <w:tcW w:w="681" w:type="dxa"/>
            <w:vMerge w:val="restart"/>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51" w:type="dxa"/>
            <w:vMerge w:val="restart"/>
            <w:shd w:val="clear" w:color="auto" w:fill="auto"/>
            <w:vAlign w:val="center"/>
          </w:tcPr>
          <w:p>
            <w:pPr>
              <w:overflowPunct w:val="0"/>
              <w:spacing w:line="320" w:lineRule="exact"/>
              <w:jc w:val="center"/>
              <w:textAlignment w:val="center"/>
              <w:rPr>
                <w:rFonts w:hint="eastAsia" w:ascii="Times New Roman" w:hAnsi="Times New Roman" w:eastAsia="仿宋_GB2312" w:cs="Times New Roman"/>
                <w:snapToGrid w:val="0"/>
                <w:color w:val="auto"/>
                <w:spacing w:val="-8"/>
                <w:sz w:val="24"/>
                <w:lang w:eastAsia="zh-CN"/>
              </w:rPr>
            </w:pPr>
            <w:r>
              <w:rPr>
                <w:rFonts w:ascii="Times New Roman" w:hAnsi="Times New Roman" w:eastAsia="仿宋_GB2312" w:cs="Times New Roman"/>
                <w:snapToGrid w:val="0"/>
                <w:color w:val="auto"/>
                <w:spacing w:val="-8"/>
                <w:sz w:val="24"/>
              </w:rPr>
              <w:t>能源</w:t>
            </w:r>
          </w:p>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节约</w:t>
            </w: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10"/>
                <w:w w:val="95"/>
                <w:sz w:val="24"/>
              </w:rPr>
              <w:t>（1）制订合理施工用能目标，提</w:t>
            </w:r>
            <w:r>
              <w:rPr>
                <w:rFonts w:ascii="Times New Roman" w:hAnsi="Times New Roman" w:eastAsia="仿宋_GB2312" w:cs="Times New Roman"/>
                <w:snapToGrid w:val="0"/>
                <w:color w:val="auto"/>
                <w:spacing w:val="-3"/>
                <w:sz w:val="24"/>
              </w:rPr>
              <w:t>高施工能源利用率。</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pacing w:val="4"/>
                <w:sz w:val="24"/>
              </w:rPr>
            </w:pPr>
            <w:r>
              <w:rPr>
                <w:rFonts w:ascii="Times New Roman" w:hAnsi="Times New Roman" w:eastAsia="仿宋_GB2312" w:cs="Times New Roman"/>
                <w:snapToGrid w:val="0"/>
                <w:color w:val="auto"/>
                <w:spacing w:val="4"/>
                <w:sz w:val="24"/>
              </w:rPr>
              <w:t>项目根据工程规模，按项目预算标准制定用电和节能目标情况。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325" w:hRule="atLeast"/>
          <w:jc w:val="center"/>
        </w:trPr>
        <w:tc>
          <w:tcPr>
            <w:tcW w:w="68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85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9"/>
                <w:sz w:val="24"/>
              </w:rPr>
              <w:t>（2）施工现场分别设定生产、生</w:t>
            </w:r>
            <w:r>
              <w:rPr>
                <w:rFonts w:ascii="Times New Roman" w:hAnsi="Times New Roman" w:eastAsia="仿宋_GB2312" w:cs="Times New Roman"/>
                <w:snapToGrid w:val="0"/>
                <w:color w:val="auto"/>
                <w:spacing w:val="4"/>
                <w:sz w:val="24"/>
              </w:rPr>
              <w:t>活、办公和施工设备的用电控制</w:t>
            </w:r>
            <w:r>
              <w:rPr>
                <w:rFonts w:ascii="Times New Roman" w:hAnsi="Times New Roman" w:eastAsia="仿宋_GB2312" w:cs="Times New Roman"/>
                <w:snapToGrid w:val="0"/>
                <w:color w:val="auto"/>
                <w:spacing w:val="-18"/>
                <w:sz w:val="24"/>
              </w:rPr>
              <w:t>指标，定期进行计量、核算、对比</w:t>
            </w:r>
            <w:r>
              <w:rPr>
                <w:rFonts w:ascii="Times New Roman" w:hAnsi="Times New Roman" w:eastAsia="仿宋_GB2312" w:cs="Times New Roman"/>
                <w:snapToGrid w:val="0"/>
                <w:color w:val="auto"/>
                <w:spacing w:val="-14"/>
                <w:sz w:val="24"/>
              </w:rPr>
              <w:t>分析，并有预防与纠正措施。</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对生产、生活、办公和施工设备用电的分类计量及统计、核</w:t>
            </w:r>
            <w:r>
              <w:rPr>
                <w:rFonts w:ascii="Times New Roman" w:hAnsi="Times New Roman" w:eastAsia="仿宋_GB2312" w:cs="Times New Roman"/>
                <w:snapToGrid w:val="0"/>
                <w:color w:val="auto"/>
                <w:spacing w:val="-3"/>
                <w:sz w:val="24"/>
              </w:rPr>
              <w:t>算、对比分析情况。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613" w:hRule="atLeast"/>
          <w:jc w:val="center"/>
        </w:trPr>
        <w:tc>
          <w:tcPr>
            <w:tcW w:w="68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85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（3）对于施工中的大型机械重点</w:t>
            </w:r>
            <w:r>
              <w:rPr>
                <w:rFonts w:ascii="Times New Roman" w:hAnsi="Times New Roman" w:eastAsia="仿宋_GB2312" w:cs="Times New Roman"/>
                <w:snapToGrid w:val="0"/>
                <w:color w:val="auto"/>
                <w:spacing w:val="20"/>
                <w:sz w:val="24"/>
              </w:rPr>
              <w:t>和耗能设备应定期监控利用情</w:t>
            </w:r>
            <w:r>
              <w:rPr>
                <w:rFonts w:ascii="Times New Roman" w:hAnsi="Times New Roman" w:eastAsia="仿宋_GB2312" w:cs="Times New Roman"/>
                <w:snapToGrid w:val="0"/>
                <w:color w:val="auto"/>
                <w:spacing w:val="-10"/>
                <w:sz w:val="24"/>
              </w:rPr>
              <w:t>况。</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9"/>
                <w:sz w:val="24"/>
              </w:rPr>
              <w:t>重点监控耗能设备的使用情</w:t>
            </w:r>
            <w:r>
              <w:rPr>
                <w:rFonts w:ascii="Times New Roman" w:hAnsi="Times New Roman" w:eastAsia="仿宋_GB2312" w:cs="Times New Roman"/>
                <w:snapToGrid w:val="0"/>
                <w:color w:val="auto"/>
                <w:spacing w:val="-4"/>
                <w:sz w:val="24"/>
              </w:rPr>
              <w:t>况和相关记录。</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675" w:hRule="atLeast"/>
          <w:jc w:val="center"/>
        </w:trPr>
        <w:tc>
          <w:tcPr>
            <w:tcW w:w="68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85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（4）建筑材料设备的选用应根据</w:t>
            </w:r>
            <w:r>
              <w:rPr>
                <w:rFonts w:ascii="Times New Roman" w:hAnsi="Times New Roman" w:eastAsia="仿宋_GB2312" w:cs="Times New Roman"/>
                <w:snapToGrid w:val="0"/>
                <w:color w:val="auto"/>
                <w:spacing w:val="-12"/>
                <w:sz w:val="24"/>
              </w:rPr>
              <w:t>就近原则，500km以内生产的建</w:t>
            </w:r>
            <w:r>
              <w:rPr>
                <w:rFonts w:ascii="Times New Roman" w:hAnsi="Times New Roman" w:eastAsia="仿宋_GB2312" w:cs="Times New Roman"/>
                <w:snapToGrid w:val="0"/>
                <w:color w:val="auto"/>
                <w:spacing w:val="-2"/>
                <w:sz w:val="24"/>
              </w:rPr>
              <w:t>筑材料设备占比应大于70%；节</w:t>
            </w:r>
            <w:r>
              <w:rPr>
                <w:rFonts w:ascii="Times New Roman" w:hAnsi="Times New Roman" w:eastAsia="仿宋_GB2312" w:cs="Times New Roman"/>
                <w:snapToGrid w:val="0"/>
                <w:color w:val="auto"/>
                <w:spacing w:val="4"/>
                <w:sz w:val="24"/>
              </w:rPr>
              <w:t>能材料与保温材料的设计与施工</w:t>
            </w:r>
            <w:r>
              <w:rPr>
                <w:rFonts w:ascii="Times New Roman" w:hAnsi="Times New Roman" w:eastAsia="仿宋_GB2312" w:cs="Times New Roman"/>
                <w:snapToGrid w:val="0"/>
                <w:color w:val="auto"/>
                <w:spacing w:val="-3"/>
                <w:sz w:val="24"/>
              </w:rPr>
              <w:t>情况。</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节能材料与保温材料的设计、</w:t>
            </w:r>
            <w:r>
              <w:rPr>
                <w:rFonts w:ascii="Times New Roman" w:hAnsi="Times New Roman" w:eastAsia="仿宋_GB2312" w:cs="Times New Roman"/>
                <w:snapToGrid w:val="0"/>
                <w:color w:val="auto"/>
                <w:spacing w:val="-1"/>
                <w:sz w:val="24"/>
              </w:rPr>
              <w:t>施工与实际运用分析情况。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0</w:t>
            </w:r>
            <w:r>
              <w:rPr>
                <w:rFonts w:ascii="Times New Roman" w:hAnsi="Times New Roman" w:eastAsia="宋体" w:cs="Times New Roman"/>
                <w:snapToGrid w:val="0"/>
                <w:color w:val="auto"/>
                <w:spacing w:val="-2"/>
                <w:sz w:val="24"/>
              </w:rPr>
              <w:t>.</w:t>
            </w:r>
            <w:r>
              <w:rPr>
                <w:rFonts w:ascii="Times New Roman" w:hAnsi="Times New Roman" w:eastAsia="仿宋_GB2312" w:cs="Times New Roman"/>
                <w:snapToGrid w:val="0"/>
                <w:color w:val="auto"/>
                <w:spacing w:val="-2"/>
                <w:sz w:val="24"/>
              </w:rPr>
              <w:t>5</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262" w:hRule="atLeast"/>
          <w:jc w:val="center"/>
        </w:trPr>
        <w:tc>
          <w:tcPr>
            <w:tcW w:w="68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85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（5）节能照明灯具使用率达到</w:t>
            </w:r>
            <w:r>
              <w:rPr>
                <w:rFonts w:ascii="Times New Roman" w:hAnsi="Times New Roman" w:eastAsia="仿宋_GB2312" w:cs="Times New Roman"/>
                <w:snapToGrid w:val="0"/>
                <w:color w:val="auto"/>
                <w:spacing w:val="4"/>
                <w:sz w:val="24"/>
              </w:rPr>
              <w:t>100%。施工通道等区域宜采用声控延时等自动照明设备。临时用电节能灯具照明设计以满足最低</w:t>
            </w:r>
            <w:r>
              <w:rPr>
                <w:rFonts w:ascii="Times New Roman" w:hAnsi="Times New Roman" w:eastAsia="仿宋_GB2312" w:cs="Times New Roman"/>
                <w:snapToGrid w:val="0"/>
                <w:color w:val="auto"/>
                <w:spacing w:val="-7"/>
                <w:sz w:val="24"/>
              </w:rPr>
              <w:t>照度为原则，不得超过最低照度的20％。</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施工办公、生活区节能控制措</w:t>
            </w:r>
            <w:r>
              <w:rPr>
                <w:rFonts w:ascii="Times New Roman" w:hAnsi="Times New Roman" w:eastAsia="仿宋_GB2312" w:cs="Times New Roman"/>
                <w:snapToGrid w:val="0"/>
                <w:color w:val="auto"/>
                <w:spacing w:val="-1"/>
                <w:sz w:val="24"/>
              </w:rPr>
              <w:t>施情况。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0</w:t>
            </w:r>
            <w:r>
              <w:rPr>
                <w:rFonts w:ascii="Times New Roman" w:hAnsi="Times New Roman" w:eastAsia="宋体" w:cs="Times New Roman"/>
                <w:snapToGrid w:val="0"/>
                <w:color w:val="auto"/>
                <w:spacing w:val="-3"/>
                <w:sz w:val="24"/>
              </w:rPr>
              <w:t>.</w:t>
            </w:r>
            <w:r>
              <w:rPr>
                <w:rFonts w:ascii="Times New Roman" w:hAnsi="Times New Roman" w:eastAsia="仿宋_GB2312" w:cs="Times New Roman"/>
                <w:snapToGrid w:val="0"/>
                <w:color w:val="auto"/>
                <w:spacing w:val="-3"/>
                <w:sz w:val="24"/>
              </w:rPr>
              <w:t>5</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166" w:hRule="atLeast"/>
          <w:jc w:val="center"/>
        </w:trPr>
        <w:tc>
          <w:tcPr>
            <w:tcW w:w="681" w:type="dxa"/>
            <w:vMerge w:val="restart"/>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51" w:type="dxa"/>
            <w:vMerge w:val="restart"/>
            <w:shd w:val="clear" w:color="auto" w:fill="auto"/>
            <w:vAlign w:val="center"/>
          </w:tcPr>
          <w:p>
            <w:pPr>
              <w:overflowPunct w:val="0"/>
              <w:spacing w:line="320" w:lineRule="exact"/>
              <w:jc w:val="center"/>
              <w:textAlignment w:val="center"/>
              <w:rPr>
                <w:rFonts w:hint="eastAsia" w:ascii="Times New Roman" w:hAnsi="Times New Roman" w:eastAsia="仿宋_GB2312" w:cs="Times New Roman"/>
                <w:snapToGrid w:val="0"/>
                <w:color w:val="auto"/>
                <w:spacing w:val="-8"/>
                <w:sz w:val="24"/>
                <w:lang w:eastAsia="zh-CN"/>
              </w:rPr>
            </w:pPr>
            <w:r>
              <w:rPr>
                <w:rFonts w:ascii="Times New Roman" w:hAnsi="Times New Roman" w:eastAsia="仿宋_GB2312" w:cs="Times New Roman"/>
                <w:snapToGrid w:val="0"/>
                <w:color w:val="auto"/>
                <w:spacing w:val="-8"/>
                <w:sz w:val="24"/>
              </w:rPr>
              <w:t>能源</w:t>
            </w:r>
          </w:p>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4"/>
                <w:sz w:val="24"/>
              </w:rPr>
              <w:t>利用</w:t>
            </w: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10"/>
                <w:sz w:val="24"/>
              </w:rPr>
              <w:t>（1）自然能源的利用超过施工用</w:t>
            </w:r>
            <w:r>
              <w:rPr>
                <w:rFonts w:ascii="Times New Roman" w:hAnsi="Times New Roman" w:eastAsia="仿宋_GB2312" w:cs="Times New Roman"/>
                <w:snapToGrid w:val="0"/>
                <w:color w:val="auto"/>
                <w:spacing w:val="-6"/>
                <w:sz w:val="24"/>
              </w:rPr>
              <w:t>能30%。</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13"/>
                <w:sz w:val="24"/>
              </w:rPr>
              <w:t>采用自然能源利用情况，分析</w:t>
            </w:r>
            <w:r>
              <w:rPr>
                <w:rFonts w:ascii="Times New Roman" w:hAnsi="Times New Roman" w:eastAsia="仿宋_GB2312" w:cs="Times New Roman"/>
                <w:snapToGrid w:val="0"/>
                <w:color w:val="auto"/>
                <w:spacing w:val="-1"/>
                <w:sz w:val="24"/>
              </w:rPr>
              <w:t>和计算记录。</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949" w:hRule="atLeast"/>
          <w:jc w:val="center"/>
        </w:trPr>
        <w:tc>
          <w:tcPr>
            <w:tcW w:w="68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851" w:type="dxa"/>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（2）</w:t>
            </w:r>
            <w:r>
              <w:rPr>
                <w:rFonts w:ascii="Times New Roman" w:hAnsi="Times New Roman" w:eastAsia="仿宋_GB2312" w:cs="Times New Roman"/>
                <w:snapToGrid w:val="0"/>
                <w:color w:val="auto"/>
                <w:spacing w:val="-6"/>
                <w:sz w:val="24"/>
              </w:rPr>
              <w:t>临时用电应优先采用自动控制系统设备。采用无功补偿等措施提高设备能源效率。</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采取措施，分析效能，合理控制用电。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pacing w:val="-2"/>
                <w:sz w:val="24"/>
              </w:rPr>
              <w:t>特色指标4分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206" w:hRule="atLeast"/>
          <w:jc w:val="center"/>
        </w:trPr>
        <w:tc>
          <w:tcPr>
            <w:tcW w:w="1532" w:type="dxa"/>
            <w:gridSpan w:val="2"/>
            <w:vMerge w:val="restart"/>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3"/>
                <w:sz w:val="24"/>
              </w:rPr>
              <w:t>市政工程</w:t>
            </w: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10"/>
                <w:w w:val="99"/>
                <w:sz w:val="24"/>
              </w:rPr>
              <w:t>（</w:t>
            </w:r>
            <w:r>
              <w:rPr>
                <w:rFonts w:ascii="Times New Roman" w:hAnsi="Times New Roman" w:eastAsia="仿宋_GB2312" w:cs="Times New Roman"/>
                <w:snapToGrid w:val="0"/>
                <w:color w:val="auto"/>
                <w:spacing w:val="2"/>
                <w:sz w:val="24"/>
              </w:rPr>
              <w:t>1）临时房屋应结合自然条件，合理采用自然采光、通风；使用热工性能达标的复合墙体和屋面板，顶棚宜采用吊顶；采取外窗遮阳、窗帘等防晒措施。</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2"/>
                <w:sz w:val="24"/>
              </w:rPr>
              <w:t>临时房屋节能措施。</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060" w:hRule="atLeast"/>
          <w:jc w:val="center"/>
        </w:trPr>
        <w:tc>
          <w:tcPr>
            <w:tcW w:w="1532" w:type="dxa"/>
            <w:gridSpan w:val="2"/>
            <w:vMerge w:val="continue"/>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409"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pacing w:val="-8"/>
                <w:sz w:val="24"/>
              </w:rPr>
              <w:t>（2）施工机具设备采用变频电机设备；用电设备采用自动控制装</w:t>
            </w:r>
            <w:r>
              <w:rPr>
                <w:rFonts w:ascii="Times New Roman" w:hAnsi="Times New Roman" w:eastAsia="仿宋_GB2312" w:cs="Times New Roman"/>
                <w:snapToGrid w:val="0"/>
                <w:color w:val="auto"/>
                <w:spacing w:val="-9"/>
                <w:sz w:val="24"/>
              </w:rPr>
              <w:t>置。</w:t>
            </w:r>
          </w:p>
        </w:tc>
        <w:tc>
          <w:tcPr>
            <w:tcW w:w="3253" w:type="dxa"/>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pacing w:val="6"/>
                <w:sz w:val="24"/>
              </w:rPr>
            </w:pPr>
            <w:r>
              <w:rPr>
                <w:rFonts w:ascii="Times New Roman" w:hAnsi="Times New Roman" w:eastAsia="仿宋_GB2312" w:cs="Times New Roman"/>
                <w:snapToGrid w:val="0"/>
                <w:color w:val="auto"/>
                <w:spacing w:val="6"/>
                <w:sz w:val="24"/>
              </w:rPr>
              <w:t>变频电机、自动控制装置使用情况。</w:t>
            </w:r>
          </w:p>
        </w:tc>
        <w:tc>
          <w:tcPr>
            <w:tcW w:w="858"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93" w:type="dxa"/>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hint="eastAsia" w:ascii="仿宋_GB2312" w:eastAsia="仿宋_GB2312"/>
          <w:sz w:val="24"/>
          <w:szCs w:val="24"/>
          <w:lang w:eastAsia="zh-CN"/>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p>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日期：</w:t>
      </w:r>
      <w:r>
        <w:rPr>
          <w:rFonts w:ascii="宋体" w:hAnsi="宋体" w:cs="宋体"/>
          <w:spacing w:val="-20"/>
          <w:w w:val="94"/>
        </w:rPr>
        <w:br w:type="page"/>
      </w:r>
    </w:p>
    <w:p>
      <w:pPr>
        <w:pStyle w:val="23"/>
        <w:kinsoku w:val="0"/>
        <w:overflowPunct w:val="0"/>
        <w:autoSpaceDE w:val="0"/>
        <w:autoSpaceDN w:val="0"/>
        <w:spacing w:before="249" w:beforeLines="80" w:after="312" w:afterLines="100" w:line="579" w:lineRule="exact"/>
        <w:ind w:firstLine="0" w:firstLineChars="0"/>
        <w:jc w:val="center"/>
        <w:textAlignment w:val="center"/>
        <w:rPr>
          <w:rFonts w:ascii="方正小标宋_GBK" w:hAnsi="黑体" w:eastAsia="方正小标宋_GBK" w:cs="宋体"/>
          <w:sz w:val="38"/>
          <w:szCs w:val="38"/>
        </w:rPr>
      </w:pPr>
      <w:r>
        <w:rPr>
          <w:rFonts w:ascii="方正小标宋_GBK" w:hAnsi="黑体" w:eastAsia="方正小标宋_GBK" w:cs="宋体"/>
          <w:sz w:val="38"/>
          <w:szCs w:val="38"/>
        </w:rPr>
        <w:t>四、</w:t>
      </w:r>
      <w:bookmarkStart w:id="10" w:name="_Hlk99225818"/>
      <w:r>
        <w:rPr>
          <w:rFonts w:ascii="方正小标宋_GBK" w:hAnsi="黑体" w:eastAsia="方正小标宋_GBK" w:cs="宋体"/>
          <w:sz w:val="38"/>
          <w:szCs w:val="38"/>
        </w:rPr>
        <w:t>技术创新与创效（20分）</w:t>
      </w:r>
      <w:bookmarkEnd w:id="10"/>
    </w:p>
    <w:p>
      <w:pPr>
        <w:spacing w:line="360" w:lineRule="exact"/>
        <w:rPr>
          <w:rFonts w:ascii="Times New Roman" w:hAnsi="Times New Roman" w:eastAsia="仿宋_GB2312"/>
          <w:b/>
          <w:spacing w:val="-2"/>
          <w:sz w:val="24"/>
        </w:rPr>
      </w:pPr>
      <w:bookmarkStart w:id="11" w:name="_Hlk107231093"/>
      <w:r>
        <w:rPr>
          <w:rFonts w:hint="eastAsia" w:ascii="Times New Roman" w:hAnsi="Times New Roman" w:eastAsia="仿宋_GB2312"/>
          <w:b/>
          <w:spacing w:val="-2"/>
          <w:sz w:val="24"/>
        </w:rPr>
        <w:t>工程名称：</w:t>
      </w:r>
      <w:bookmarkEnd w:id="11"/>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表4：技术创新与创效指标20分</w:t>
      </w:r>
    </w:p>
    <w:tbl>
      <w:tblPr>
        <w:tblStyle w:val="25"/>
        <w:tblW w:w="8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70"/>
        <w:gridCol w:w="630"/>
        <w:gridCol w:w="3119"/>
        <w:gridCol w:w="2872"/>
        <w:gridCol w:w="845"/>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97" w:hRule="atLeast"/>
          <w:tblHeader/>
          <w:jc w:val="center"/>
        </w:trPr>
        <w:tc>
          <w:tcPr>
            <w:tcW w:w="670" w:type="dxa"/>
            <w:tcBorders>
              <w:top w:val="single" w:color="000000" w:sz="8" w:space="0"/>
              <w:left w:val="single" w:color="000000" w:sz="8" w:space="0"/>
              <w:bottom w:val="single" w:color="000000" w:sz="4" w:space="0"/>
            </w:tcBorders>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749" w:type="dxa"/>
            <w:gridSpan w:val="2"/>
            <w:tcBorders>
              <w:top w:val="single" w:color="000000" w:sz="8" w:space="0"/>
              <w:bottom w:val="single" w:color="000000" w:sz="4" w:space="0"/>
            </w:tcBorders>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872" w:type="dxa"/>
            <w:tcBorders>
              <w:top w:val="single" w:color="000000" w:sz="8" w:space="0"/>
              <w:bottom w:val="single" w:color="000000" w:sz="4" w:space="0"/>
            </w:tcBorders>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845" w:type="dxa"/>
            <w:tcBorders>
              <w:top w:val="single" w:color="000000" w:sz="8" w:space="0"/>
              <w:bottom w:val="single" w:color="000000" w:sz="4" w:space="0"/>
            </w:tcBorders>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809" w:type="dxa"/>
            <w:tcBorders>
              <w:top w:val="single" w:color="000000" w:sz="8" w:space="0"/>
              <w:bottom w:val="single" w:color="000000" w:sz="4" w:space="0"/>
              <w:right w:val="single" w:color="000000" w:sz="8" w:space="0"/>
            </w:tcBorders>
            <w:shd w:val="clear" w:color="auto" w:fill="auto"/>
            <w:vAlign w:val="center"/>
          </w:tcPr>
          <w:p>
            <w:pPr>
              <w:overflowPunct w:val="0"/>
              <w:spacing w:line="34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8945" w:type="dxa"/>
            <w:gridSpan w:val="6"/>
            <w:tcBorders>
              <w:top w:val="single" w:color="000000" w:sz="4" w:space="0"/>
              <w:left w:val="single" w:color="000000" w:sz="8"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常规指标16分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78" w:hRule="atLeast"/>
          <w:jc w:val="center"/>
        </w:trPr>
        <w:tc>
          <w:tcPr>
            <w:tcW w:w="670" w:type="dxa"/>
            <w:vMerge w:val="restart"/>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630" w:type="dxa"/>
            <w:vMerge w:val="restart"/>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科研管理</w:t>
            </w:r>
          </w:p>
        </w:tc>
        <w:tc>
          <w:tcPr>
            <w:tcW w:w="3119"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（1）制定绿色建造科研计划、实施、研究及推广应用的管理体系、制度和方法。</w:t>
            </w: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绿色建造科研计划。</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99" w:hRule="atLeast"/>
          <w:jc w:val="center"/>
        </w:trPr>
        <w:tc>
          <w:tcPr>
            <w:tcW w:w="670" w:type="dxa"/>
            <w:vMerge w:val="continue"/>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应结合工程特点，立项开展有关绿色建造方面新技术、新工艺、新材料、新设备的开发和推广应用的研究。不断形成具有自主知识产权的创新技术、新施工工艺、工法。并由此替代传统工艺，提高各项量化指标。</w:t>
            </w: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立项开展有关绿色建造过程施工方面新技术、新设备、新材料、新工艺的开发和推广应用研究情况。</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84" w:hRule="atLeast"/>
          <w:jc w:val="center"/>
        </w:trPr>
        <w:tc>
          <w:tcPr>
            <w:tcW w:w="670" w:type="dxa"/>
            <w:vMerge w:val="continue"/>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（3）获得国家、省部级外部科研资金立项。</w:t>
            </w:r>
          </w:p>
        </w:tc>
        <w:tc>
          <w:tcPr>
            <w:tcW w:w="2872" w:type="dxa"/>
            <w:tcBorders>
              <w:top w:val="single" w:color="000000" w:sz="4" w:space="0"/>
              <w:bottom w:val="single" w:color="000000" w:sz="4" w:space="0"/>
            </w:tcBorders>
            <w:shd w:val="clear" w:color="auto" w:fill="auto"/>
            <w:vAlign w:val="center"/>
          </w:tcPr>
          <w:p>
            <w:pPr>
              <w:tabs>
                <w:tab w:val="left" w:pos="1687"/>
              </w:tabs>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国家、省部级外部科研资金立项情况。</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85" w:hRule="atLeast"/>
          <w:jc w:val="center"/>
        </w:trPr>
        <w:tc>
          <w:tcPr>
            <w:tcW w:w="670" w:type="dxa"/>
            <w:vMerge w:val="restart"/>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630" w:type="dxa"/>
            <w:vMerge w:val="restart"/>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推广技术应用</w:t>
            </w:r>
          </w:p>
        </w:tc>
        <w:tc>
          <w:tcPr>
            <w:tcW w:w="3119" w:type="dxa"/>
            <w:vMerge w:val="restart"/>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hint="eastAsia" w:ascii="仿宋_GB2312" w:hAnsi="Times New Roman" w:eastAsia="仿宋_GB2312" w:cs="Times New Roman"/>
                <w:snapToGrid w:val="0"/>
                <w:color w:val="auto"/>
                <w:sz w:val="24"/>
              </w:rPr>
              <w:t>（1）</w:t>
            </w:r>
            <w:r>
              <w:rPr>
                <w:rFonts w:hint="eastAsia" w:ascii="仿宋_GB2312" w:hAnsi="Times New Roman" w:eastAsia="仿宋_GB2312" w:cs="Times New Roman"/>
                <w:snapToGrid w:val="0"/>
                <w:color w:val="auto"/>
                <w:spacing w:val="-6"/>
                <w:sz w:val="24"/>
              </w:rPr>
              <w:t>应通过采用</w:t>
            </w:r>
            <w:r>
              <w:rPr>
                <w:rFonts w:hint="eastAsia" w:ascii="方正书宋_GBK" w:hAnsi="Times New Roman" w:eastAsia="方正书宋_GBK" w:cs="Times New Roman"/>
                <w:snapToGrid w:val="0"/>
                <w:color w:val="auto"/>
                <w:spacing w:val="-6"/>
                <w:sz w:val="24"/>
              </w:rPr>
              <w:t>“</w:t>
            </w:r>
            <w:r>
              <w:rPr>
                <w:rFonts w:hint="eastAsia" w:ascii="仿宋_GB2312" w:hAnsi="Times New Roman" w:eastAsia="仿宋_GB2312" w:cs="Times New Roman"/>
                <w:snapToGrid w:val="0"/>
                <w:color w:val="auto"/>
                <w:spacing w:val="-6"/>
                <w:sz w:val="24"/>
              </w:rPr>
              <w:t>建设部推广应用和限制禁止使用技术公告</w:t>
            </w:r>
            <w:r>
              <w:rPr>
                <w:rFonts w:hint="eastAsia" w:ascii="方正书宋_GBK" w:hAnsi="Times New Roman" w:eastAsia="方正书宋_GBK" w:cs="Times New Roman"/>
                <w:snapToGrid w:val="0"/>
                <w:color w:val="auto"/>
                <w:spacing w:val="-6"/>
                <w:sz w:val="24"/>
              </w:rPr>
              <w:t>”</w:t>
            </w:r>
            <w:r>
              <w:rPr>
                <w:rFonts w:hint="eastAsia" w:ascii="仿宋_GB2312" w:hAnsi="Times New Roman" w:eastAsia="仿宋_GB2312" w:cs="Times New Roman"/>
                <w:snapToGrid w:val="0"/>
                <w:color w:val="auto"/>
                <w:spacing w:val="-6"/>
                <w:sz w:val="24"/>
              </w:rPr>
              <w:t>中的推广应用技术、</w:t>
            </w:r>
            <w:r>
              <w:rPr>
                <w:rFonts w:hint="eastAsia" w:ascii="方正书宋_GBK" w:hAnsi="Times New Roman" w:eastAsia="方正书宋_GBK" w:cs="Times New Roman"/>
                <w:snapToGrid w:val="0"/>
                <w:color w:val="auto"/>
                <w:spacing w:val="-6"/>
                <w:sz w:val="24"/>
              </w:rPr>
              <w:t>“</w:t>
            </w:r>
            <w:r>
              <w:rPr>
                <w:rFonts w:hint="eastAsia" w:ascii="仿宋_GB2312" w:hAnsi="Times New Roman" w:eastAsia="仿宋_GB2312" w:cs="Times New Roman"/>
                <w:snapToGrid w:val="0"/>
                <w:color w:val="auto"/>
                <w:spacing w:val="-6"/>
                <w:sz w:val="24"/>
              </w:rPr>
              <w:t>全国建设行业科技成果推广项目</w:t>
            </w:r>
            <w:r>
              <w:rPr>
                <w:rFonts w:hint="eastAsia" w:ascii="方正书宋_GBK" w:hAnsi="Times New Roman" w:eastAsia="方正书宋_GBK" w:cs="Times New Roman"/>
                <w:snapToGrid w:val="0"/>
                <w:color w:val="auto"/>
                <w:spacing w:val="-6"/>
                <w:sz w:val="24"/>
              </w:rPr>
              <w:t>”</w:t>
            </w:r>
            <w:r>
              <w:rPr>
                <w:rFonts w:hint="eastAsia" w:ascii="仿宋_GB2312" w:hAnsi="Times New Roman" w:eastAsia="仿宋_GB2312" w:cs="Times New Roman"/>
                <w:snapToGrid w:val="0"/>
                <w:color w:val="auto"/>
                <w:spacing w:val="-6"/>
                <w:sz w:val="24"/>
              </w:rPr>
              <w:t>或地方住房和城乡建设行政主管部门发布的推广项目等先进</w:t>
            </w:r>
            <w:r>
              <w:rPr>
                <w:rFonts w:ascii="Times New Roman" w:hAnsi="Times New Roman" w:eastAsia="仿宋_GB2312" w:cs="Times New Roman"/>
                <w:snapToGrid w:val="0"/>
                <w:color w:val="auto"/>
                <w:spacing w:val="-6"/>
                <w:sz w:val="24"/>
              </w:rPr>
              <w:t>适用技术，采用BIM技术以及</w:t>
            </w:r>
            <w:r>
              <w:rPr>
                <w:rFonts w:hint="eastAsia" w:ascii="方正书宋_GBK" w:hAnsi="Times New Roman" w:eastAsia="方正书宋_GBK" w:cs="Times New Roman"/>
                <w:snapToGrid w:val="0"/>
                <w:color w:val="auto"/>
                <w:spacing w:val="-6"/>
                <w:sz w:val="24"/>
              </w:rPr>
              <w:t>“</w:t>
            </w:r>
            <w:r>
              <w:rPr>
                <w:rFonts w:ascii="Times New Roman" w:hAnsi="Times New Roman" w:eastAsia="仿宋_GB2312" w:cs="Times New Roman"/>
                <w:snapToGrid w:val="0"/>
                <w:color w:val="auto"/>
                <w:spacing w:val="-6"/>
                <w:sz w:val="24"/>
              </w:rPr>
              <w:t>建筑业10项新技术</w:t>
            </w:r>
            <w:r>
              <w:rPr>
                <w:rFonts w:hint="eastAsia" w:ascii="方正书宋_GBK" w:hAnsi="Times New Roman" w:eastAsia="方正书宋_GBK" w:cs="Times New Roman"/>
                <w:snapToGrid w:val="0"/>
                <w:color w:val="auto"/>
                <w:spacing w:val="-6"/>
                <w:sz w:val="24"/>
              </w:rPr>
              <w:t>”</w:t>
            </w:r>
            <w:r>
              <w:rPr>
                <w:rFonts w:ascii="Times New Roman" w:hAnsi="Times New Roman" w:eastAsia="仿宋_GB2312" w:cs="Times New Roman"/>
                <w:snapToGrid w:val="0"/>
                <w:color w:val="auto"/>
                <w:spacing w:val="-6"/>
                <w:sz w:val="24"/>
              </w:rPr>
              <w:t>，实现与提高绿色建造过程施工的各项指标。</w:t>
            </w: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（1）在工程施工中采用了哪些推广技术，在绿色建造施工各方面取得成效情况。</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68" w:hRule="atLeast"/>
          <w:jc w:val="center"/>
        </w:trPr>
        <w:tc>
          <w:tcPr>
            <w:tcW w:w="670" w:type="dxa"/>
            <w:vMerge w:val="continue"/>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vMerge w:val="continue"/>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（2）采用的新技术、新工艺、新材料、新设备对于绿色建造过程施工产生的影响和作用。采用BIM技术对工程施工的先进性作用。</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56" w:hRule="atLeast"/>
          <w:jc w:val="center"/>
        </w:trPr>
        <w:tc>
          <w:tcPr>
            <w:tcW w:w="670" w:type="dxa"/>
            <w:vMerge w:val="continue"/>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（2）推广自研专利技术，取得明显经济社会效益。</w:t>
            </w: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研发专利成果，推广自研专利技术，成效明显。</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45" w:hRule="atLeast"/>
          <w:jc w:val="center"/>
        </w:trPr>
        <w:tc>
          <w:tcPr>
            <w:tcW w:w="670" w:type="dxa"/>
            <w:vMerge w:val="restart"/>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630" w:type="dxa"/>
            <w:vMerge w:val="restart"/>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技术创新点</w:t>
            </w:r>
          </w:p>
        </w:tc>
        <w:tc>
          <w:tcPr>
            <w:tcW w:w="3119" w:type="dxa"/>
            <w:vMerge w:val="restart"/>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仿宋_GB2312" w:cs="Times New Roman"/>
                <w:snapToGrid w:val="0"/>
                <w:color w:val="auto"/>
                <w:spacing w:val="-6"/>
                <w:sz w:val="24"/>
              </w:rPr>
              <w:t>积极采用信息化施工技术提升绿色建造施工技术水平。</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（2）积极采用预制装配技术等提升绿色建造施工的工业化水平。</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（3）以人为本，建造智能健康绿色建筑。</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（4）不断革新传统工艺，提高绿色建造过程施工的各项指标。</w:t>
            </w: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（1）信息技术、智能技术在绿色建造过程中的创新与发展。</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242" w:hRule="atLeast"/>
          <w:jc w:val="center"/>
        </w:trPr>
        <w:tc>
          <w:tcPr>
            <w:tcW w:w="670" w:type="dxa"/>
            <w:vMerge w:val="continue"/>
            <w:tcBorders>
              <w:top w:val="single" w:color="000000" w:sz="4" w:space="0"/>
              <w:left w:val="single" w:color="000000" w:sz="8"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vMerge w:val="continue"/>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872" w:type="dxa"/>
            <w:tcBorders>
              <w:top w:val="single" w:color="000000" w:sz="4" w:space="0"/>
              <w:bottom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（2）自主创新技术对绿色建造过程施工的促进与推动。</w:t>
            </w:r>
          </w:p>
        </w:tc>
        <w:tc>
          <w:tcPr>
            <w:tcW w:w="845" w:type="dxa"/>
            <w:tcBorders>
              <w:top w:val="single" w:color="000000" w:sz="4" w:space="0"/>
              <w:bottom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809" w:type="dxa"/>
            <w:tcBorders>
              <w:top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7" w:hRule="atLeast"/>
          <w:jc w:val="center"/>
        </w:trPr>
        <w:tc>
          <w:tcPr>
            <w:tcW w:w="670" w:type="dxa"/>
            <w:vMerge w:val="continue"/>
            <w:tcBorders>
              <w:top w:val="single" w:color="000000" w:sz="4" w:space="0"/>
              <w:left w:val="single" w:color="000000" w:sz="8" w:space="0"/>
              <w:bottom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630" w:type="dxa"/>
            <w:vMerge w:val="continue"/>
            <w:tcBorders>
              <w:top w:val="single" w:color="000000" w:sz="4" w:space="0"/>
              <w:bottom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3119" w:type="dxa"/>
            <w:tcBorders>
              <w:top w:val="single" w:color="000000" w:sz="4" w:space="0"/>
              <w:bottom w:val="single" w:color="000000" w:sz="8"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（5）</w:t>
            </w:r>
            <w:r>
              <w:rPr>
                <w:rFonts w:ascii="Times New Roman" w:hAnsi="Times New Roman" w:eastAsia="仿宋_GB2312" w:cs="Times New Roman"/>
                <w:snapToGrid w:val="0"/>
                <w:color w:val="auto"/>
                <w:spacing w:val="2"/>
                <w:sz w:val="24"/>
              </w:rPr>
              <w:t>自主创新形成具有自主知识产权、工法等，项目研究获得国家、省部级科技奖项。</w:t>
            </w:r>
          </w:p>
        </w:tc>
        <w:tc>
          <w:tcPr>
            <w:tcW w:w="2872" w:type="dxa"/>
            <w:tcBorders>
              <w:top w:val="single" w:color="000000" w:sz="4" w:space="0"/>
              <w:bottom w:val="single" w:color="000000" w:sz="8"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自主创新形成具有自主知识产权、工法情况，项目研究获得国家、省部级科技奖项情况。</w:t>
            </w:r>
          </w:p>
        </w:tc>
        <w:tc>
          <w:tcPr>
            <w:tcW w:w="845" w:type="dxa"/>
            <w:tcBorders>
              <w:top w:val="single" w:color="000000" w:sz="4" w:space="0"/>
              <w:bottom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809" w:type="dxa"/>
            <w:tcBorders>
              <w:top w:val="single" w:color="000000" w:sz="4" w:space="0"/>
              <w:bottom w:val="single" w:color="000000" w:sz="8"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8945" w:type="dxa"/>
            <w:gridSpan w:val="6"/>
            <w:tcBorders>
              <w:top w:val="single" w:color="000000" w:sz="8" w:space="0"/>
              <w:left w:val="single" w:color="000000" w:sz="8"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b/>
                <w:snapToGrid w:val="0"/>
                <w:color w:val="auto"/>
                <w:sz w:val="24"/>
              </w:rPr>
            </w:pPr>
            <w:r>
              <w:rPr>
                <w:rFonts w:ascii="Times New Roman" w:hAnsi="Times New Roman" w:eastAsia="仿宋_GB2312" w:cs="Times New Roman"/>
                <w:b/>
                <w:snapToGrid w:val="0"/>
                <w:color w:val="auto"/>
                <w:sz w:val="24"/>
              </w:rPr>
              <w:t>特色指标4分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64" w:hRule="atLeast"/>
          <w:jc w:val="center"/>
        </w:trPr>
        <w:tc>
          <w:tcPr>
            <w:tcW w:w="1300" w:type="dxa"/>
            <w:gridSpan w:val="2"/>
            <w:tcBorders>
              <w:top w:val="single" w:color="000000" w:sz="4" w:space="0"/>
              <w:left w:val="single" w:color="000000" w:sz="8" w:space="0"/>
              <w:bottom w:val="single" w:color="000000" w:sz="8" w:space="0"/>
            </w:tcBorders>
            <w:shd w:val="clear" w:color="auto" w:fill="auto"/>
            <w:vAlign w:val="center"/>
          </w:tcPr>
          <w:p>
            <w:pPr>
              <w:overflowPunct w:val="0"/>
              <w:spacing w:line="320" w:lineRule="exact"/>
              <w:jc w:val="center"/>
              <w:textAlignment w:val="center"/>
              <w:rPr>
                <w:rFonts w:hint="eastAsia" w:ascii="Times New Roman" w:hAnsi="Times New Roman" w:eastAsia="仿宋_GB2312" w:cs="Times New Roman"/>
                <w:snapToGrid w:val="0"/>
                <w:color w:val="auto"/>
                <w:sz w:val="24"/>
                <w:lang w:eastAsia="zh-CN"/>
              </w:rPr>
            </w:pPr>
            <w:r>
              <w:rPr>
                <w:rFonts w:ascii="Times New Roman" w:hAnsi="Times New Roman" w:eastAsia="仿宋_GB2312" w:cs="Times New Roman"/>
                <w:snapToGrid w:val="0"/>
                <w:color w:val="auto"/>
                <w:sz w:val="24"/>
              </w:rPr>
              <w:t>市政</w:t>
            </w:r>
          </w:p>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工程</w:t>
            </w:r>
          </w:p>
        </w:tc>
        <w:tc>
          <w:tcPr>
            <w:tcW w:w="3119" w:type="dxa"/>
            <w:tcBorders>
              <w:top w:val="single" w:color="000000" w:sz="4" w:space="0"/>
              <w:bottom w:val="single" w:color="000000" w:sz="8"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在以下方面进行技术创新：装配式建造技术，信息化建造技术，高强钢、钢丝等新材料应用技术，高性能混凝土技术，现场废弃物减排及回收再利用技术等。</w:t>
            </w:r>
          </w:p>
        </w:tc>
        <w:tc>
          <w:tcPr>
            <w:tcW w:w="2872" w:type="dxa"/>
            <w:tcBorders>
              <w:top w:val="single" w:color="000000" w:sz="4" w:space="0"/>
              <w:bottom w:val="single" w:color="000000" w:sz="8"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自主创新项目对绿色施工过程的促进与推动，对行业的影响力。</w:t>
            </w:r>
          </w:p>
        </w:tc>
        <w:tc>
          <w:tcPr>
            <w:tcW w:w="845" w:type="dxa"/>
            <w:tcBorders>
              <w:top w:val="single" w:color="000000" w:sz="4" w:space="0"/>
              <w:bottom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p>
        </w:tc>
        <w:tc>
          <w:tcPr>
            <w:tcW w:w="809" w:type="dxa"/>
            <w:tcBorders>
              <w:top w:val="single" w:color="000000" w:sz="4" w:space="0"/>
              <w:bottom w:val="single" w:color="000000" w:sz="8"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hint="eastAsia" w:ascii="仿宋_GB2312" w:eastAsia="仿宋_GB2312"/>
          <w:sz w:val="24"/>
          <w:szCs w:val="24"/>
          <w:lang w:eastAsia="zh-CN"/>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p>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日期：</w:t>
      </w:r>
      <w:r>
        <w:rPr>
          <w:rFonts w:ascii="宋体" w:hAnsi="宋体" w:cs="宋体"/>
          <w:spacing w:val="-20"/>
          <w:w w:val="94"/>
        </w:rPr>
        <w:br w:type="page"/>
      </w:r>
    </w:p>
    <w:p>
      <w:pPr>
        <w:pStyle w:val="23"/>
        <w:kinsoku w:val="0"/>
        <w:overflowPunct w:val="0"/>
        <w:autoSpaceDE w:val="0"/>
        <w:autoSpaceDN w:val="0"/>
        <w:spacing w:before="249" w:beforeLines="80" w:after="312" w:afterLines="100" w:line="579" w:lineRule="exact"/>
        <w:ind w:firstLine="0" w:firstLineChars="0"/>
        <w:jc w:val="center"/>
        <w:textAlignment w:val="center"/>
        <w:rPr>
          <w:rFonts w:ascii="方正小标宋_GBK" w:hAnsi="黑体" w:eastAsia="方正小标宋_GBK" w:cs="宋体"/>
          <w:sz w:val="38"/>
          <w:szCs w:val="38"/>
        </w:rPr>
      </w:pPr>
      <w:r>
        <w:rPr>
          <w:rFonts w:ascii="方正小标宋_GBK" w:hAnsi="黑体" w:eastAsia="方正小标宋_GBK" w:cs="宋体"/>
          <w:sz w:val="38"/>
          <w:szCs w:val="38"/>
        </w:rPr>
        <w:t>五、绿色可持续发展（10分）</w:t>
      </w:r>
    </w:p>
    <w:p>
      <w:pPr>
        <w:spacing w:line="360" w:lineRule="exact"/>
        <w:rPr>
          <w:rFonts w:ascii="Times New Roman" w:hAnsi="Times New Roman" w:eastAsia="仿宋_GB2312"/>
          <w:b/>
          <w:spacing w:val="-2"/>
          <w:sz w:val="24"/>
        </w:rPr>
      </w:pPr>
      <w:r>
        <w:rPr>
          <w:rFonts w:hint="eastAsia" w:ascii="Times New Roman" w:hAnsi="Times New Roman" w:eastAsia="仿宋_GB2312"/>
          <w:b/>
          <w:spacing w:val="-2"/>
          <w:sz w:val="24"/>
        </w:rPr>
        <w:t>工程名称：</w:t>
      </w:r>
    </w:p>
    <w:p>
      <w:pPr>
        <w:spacing w:after="124" w:afterLines="40" w:line="360" w:lineRule="exact"/>
        <w:jc w:val="center"/>
        <w:rPr>
          <w:rFonts w:ascii="Times New Roman" w:hAnsi="Times New Roman" w:eastAsia="黑体"/>
          <w:spacing w:val="-2"/>
          <w:sz w:val="24"/>
        </w:rPr>
      </w:pPr>
      <w:r>
        <w:rPr>
          <w:rFonts w:ascii="Times New Roman" w:hAnsi="Times New Roman" w:eastAsia="黑体"/>
          <w:spacing w:val="-2"/>
          <w:sz w:val="24"/>
        </w:rPr>
        <w:t>表5：绿色可持续发展指标（10分）</w:t>
      </w:r>
    </w:p>
    <w:tbl>
      <w:tblPr>
        <w:tblStyle w:val="25"/>
        <w:tblW w:w="894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57" w:type="dxa"/>
          <w:bottom w:w="0" w:type="dxa"/>
          <w:right w:w="57" w:type="dxa"/>
        </w:tblCellMar>
      </w:tblPr>
      <w:tblGrid>
        <w:gridCol w:w="600"/>
        <w:gridCol w:w="742"/>
        <w:gridCol w:w="2923"/>
        <w:gridCol w:w="8"/>
        <w:gridCol w:w="2836"/>
        <w:gridCol w:w="1001"/>
        <w:gridCol w:w="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cantSplit/>
          <w:trHeight w:val="397" w:hRule="atLeast"/>
          <w:jc w:val="center"/>
        </w:trPr>
        <w:tc>
          <w:tcPr>
            <w:tcW w:w="600" w:type="dxa"/>
            <w:tcBorders>
              <w:top w:val="single" w:color="000000" w:sz="8"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673"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836" w:type="dxa"/>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1001" w:type="dxa"/>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835" w:type="dxa"/>
            <w:tcBorders>
              <w:top w:val="single" w:color="000000" w:sz="8"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绿色建造过程施工成效</w:t>
            </w: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（1）绿色建造过程施工工程的经济效益。</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实施绿色建造过程施工增加的成本，包括一次性损耗成本和多次使用成本折旧分析。</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（2）绿色建造过程施工工程的社会效益。</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实施绿色建造过程取得的社会效益分析及证明。</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（3）对于生态环境和节约资源的分析总结。</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施工过程对于生态环境保护、资源节约、创新技术的采用，对施工建造可持续发展的分析报告。</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012" w:hRule="atLeast"/>
          <w:jc w:val="center"/>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（4）基于全生命周期成本分析方法进行绿色施工成本效益分析。</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基于全生命周期成本分析方法对绿色施工成本效益分析的相关报告。</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869" w:hRule="atLeast"/>
          <w:jc w:val="center"/>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position w:val="6"/>
                <w:sz w:val="24"/>
              </w:rPr>
              <w:t>优化</w:t>
            </w:r>
            <w:r>
              <w:rPr>
                <w:rFonts w:ascii="Times New Roman" w:hAnsi="Times New Roman" w:eastAsia="仿宋_GB2312" w:cs="Times New Roman"/>
                <w:snapToGrid w:val="0"/>
                <w:color w:val="auto"/>
                <w:sz w:val="24"/>
              </w:rPr>
              <w:t>设计绿色发展</w:t>
            </w: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（1）图纸会审阶段，是否能够与设计协商有关新型环保、节能材料的采用、施工工艺的创新设计等。</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（2）施工方法的革新，对于规范明显落后于时代的发展，项目应做好数据的分析、收集与资料的留存，并积极参加对规　程、规范等修订</w:t>
            </w:r>
            <w:r>
              <w:rPr>
                <w:rFonts w:hint="eastAsia" w:ascii="Times New Roman" w:hAnsi="Times New Roman" w:eastAsia="仿宋_GB2312" w:cs="Times New Roman"/>
                <w:snapToGrid w:val="0"/>
                <w:color w:val="auto"/>
                <w:sz w:val="24"/>
              </w:rPr>
              <w:t>。</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（3）研究开发优化设计软件并积极开展优化设计，以使工程结构真正达到</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安全、提高工效、减低成本</w:t>
            </w:r>
            <w:r>
              <w:rPr>
                <w:rFonts w:hint="eastAsia" w:ascii="方正书宋_GBK" w:hAnsi="Times New Roman" w:eastAsia="方正书宋_GBK" w:cs="Times New Roman"/>
                <w:snapToGrid w:val="0"/>
                <w:color w:val="auto"/>
                <w:sz w:val="24"/>
              </w:rPr>
              <w:t>”</w:t>
            </w:r>
            <w:r>
              <w:rPr>
                <w:rFonts w:ascii="Times New Roman" w:hAnsi="Times New Roman" w:eastAsia="仿宋_GB2312" w:cs="Times New Roman"/>
                <w:snapToGrid w:val="0"/>
                <w:color w:val="auto"/>
                <w:sz w:val="24"/>
              </w:rPr>
              <w:t>等。</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（1）图纸会审记录，明确绿色设计要点、施工单位与业主、设计单位的会审优化结果等记录。避免出现降低建筑绿色性能的重大变更。</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（2）施工方法的改革分析与总结，有参与规程、规范等修订记录和证明。</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（3）研究开发优化设计软件并积极开展优化设计成果总结，并有相应的记录与证明。</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333" w:hRule="atLeast"/>
          <w:jc w:val="center"/>
        </w:trPr>
        <w:tc>
          <w:tcPr>
            <w:tcW w:w="600"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31"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r>
              <w:rPr>
                <w:rFonts w:ascii="Times New Roman" w:hAnsi="Times New Roman" w:eastAsia="仿宋_GB2312" w:cs="Times New Roman"/>
                <w:snapToGrid w:val="0"/>
                <w:color w:val="auto"/>
                <w:spacing w:val="-4"/>
                <w:sz w:val="24"/>
              </w:rPr>
              <w:t>图审优化发生较大设计变更获得业主、设计及原施工图审查单位认可，实际取得较大施工优化效益。</w:t>
            </w:r>
          </w:p>
        </w:tc>
        <w:tc>
          <w:tcPr>
            <w:tcW w:w="2836"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图审优化实际取得较大施工优化效益相关情况。</w:t>
            </w:r>
          </w:p>
        </w:tc>
        <w:tc>
          <w:tcPr>
            <w:tcW w:w="1001"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8"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cantSplit/>
          <w:trHeight w:val="397" w:hRule="atLeast"/>
          <w:jc w:val="center"/>
        </w:trPr>
        <w:tc>
          <w:tcPr>
            <w:tcW w:w="600" w:type="dxa"/>
            <w:tcBorders>
              <w:top w:val="single" w:color="000000" w:sz="8"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序号</w:t>
            </w:r>
          </w:p>
        </w:tc>
        <w:tc>
          <w:tcPr>
            <w:tcW w:w="3665"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绿色建造施工指标要求</w:t>
            </w:r>
          </w:p>
        </w:tc>
        <w:tc>
          <w:tcPr>
            <w:tcW w:w="2844"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检查要点</w:t>
            </w:r>
          </w:p>
        </w:tc>
        <w:tc>
          <w:tcPr>
            <w:tcW w:w="1001" w:type="dxa"/>
            <w:tcBorders>
              <w:top w:val="single" w:color="000000" w:sz="8"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标准分</w:t>
            </w:r>
          </w:p>
        </w:tc>
        <w:tc>
          <w:tcPr>
            <w:tcW w:w="835" w:type="dxa"/>
            <w:tcBorders>
              <w:top w:val="single" w:color="000000" w:sz="8"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黑体" w:hAnsi="黑体" w:eastAsia="黑体" w:cs="Times New Roman"/>
                <w:snapToGrid w:val="0"/>
                <w:color w:val="auto"/>
                <w:sz w:val="24"/>
              </w:rPr>
            </w:pPr>
            <w:r>
              <w:rPr>
                <w:rFonts w:ascii="黑体" w:hAnsi="黑体" w:eastAsia="黑体" w:cs="Times New Roman"/>
                <w:snapToGrid w:val="0"/>
                <w:color w:val="auto"/>
                <w:sz w:val="24"/>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996" w:hRule="atLeast"/>
          <w:jc w:val="center"/>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建造过程绿色发展</w:t>
            </w:r>
          </w:p>
        </w:tc>
        <w:tc>
          <w:tcPr>
            <w:tcW w:w="2923"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（1）建造过程应以资源的高效利用为核心，建立一种可持续发展的、建造方法不断提升的建造方向。</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（2）优化节能建筑施工技术推广模式及措施。</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（3）实施节能低碳降耗。</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1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（1）坚持绿色可持续发展。以环保优先为原则，追求高效率，低消耗，统一规划，实施项目质量、安全、文明、高效、环保、综合效益最大化。</w:t>
            </w:r>
          </w:p>
          <w:p>
            <w:pPr>
              <w:overflowPunct w:val="0"/>
              <w:spacing w:line="31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（2）节能技术的推广，必须坚持原则，密切结合政府和市场发展。形成企业自身的推广机制。</w:t>
            </w:r>
          </w:p>
          <w:p>
            <w:pPr>
              <w:overflowPunct w:val="0"/>
              <w:spacing w:line="31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（3）建造过程中不断采用优化设计和施工方案，减少建筑垃圾。加强材料循环利用。保护生态环境，减少对人类健康和环境的危害。</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23"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（4）预制装配工业化等绿色建造施工技术开发进入企业标准，形成固定产品，不断深化应用于多个项目。</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预制装配工业化等绿色建造施工技术开发进入企业标准，形成固定产品情况，应用于多个项目相关记录。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4</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从业人员的健康与持续发展</w:t>
            </w:r>
          </w:p>
        </w:tc>
        <w:tc>
          <w:tcPr>
            <w:tcW w:w="2923"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（1）重视加强对施工人员的安全教育和安全施工知识培训。制定安全可靠的管理制度和保障措施，做到责任明确、落实到位。</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（1）安全教育及培训记录。</w:t>
            </w:r>
          </w:p>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（2）安全管理制度和保障措施制定和落实情况。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23"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（2）保证良好的工作环境与卫生。建立卫生应急、卫生保健和防疫体系，要有可靠的应急措施。</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施工现场，施工人员生活区和办公区受施工活动中各种有害影响情况。建立卫生应急、卫生保健和防疫体系，应急措施情况。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1</w:t>
            </w:r>
          </w:p>
        </w:tc>
        <w:tc>
          <w:tcPr>
            <w:tcW w:w="835" w:type="dxa"/>
            <w:tcBorders>
              <w:top w:val="single" w:color="000000" w:sz="4" w:space="0"/>
              <w:left w:val="single" w:color="000000" w:sz="4" w:space="0"/>
              <w:bottom w:val="single" w:color="000000" w:sz="4"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 w:hRule="atLeast"/>
          <w:jc w:val="center"/>
        </w:trPr>
        <w:tc>
          <w:tcPr>
            <w:tcW w:w="600"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74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c>
          <w:tcPr>
            <w:tcW w:w="2923"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（3）以智慧工地等信息管理技术实现人员管理从粗放式到智能化、精细化的明显提升，提高施工现场的质量安全管理水平。</w:t>
            </w:r>
          </w:p>
        </w:tc>
        <w:tc>
          <w:tcPr>
            <w:tcW w:w="2844"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智慧工地等信息管理技术应用情况；为职工提供健康、安全的工作和生活环境，提高从业人员的工作与生活水平情况。</w:t>
            </w:r>
          </w:p>
        </w:tc>
        <w:tc>
          <w:tcPr>
            <w:tcW w:w="1001" w:type="dxa"/>
            <w:tcBorders>
              <w:top w:val="single" w:color="000000" w:sz="4" w:space="0"/>
              <w:left w:val="single" w:color="000000" w:sz="4" w:space="0"/>
              <w:bottom w:val="single" w:color="000000" w:sz="8" w:space="0"/>
              <w:right w:val="single" w:color="000000" w:sz="4"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r>
              <w:rPr>
                <w:rFonts w:ascii="Times New Roman" w:hAnsi="Times New Roman" w:eastAsia="仿宋_GB2312" w:cs="Times New Roman"/>
                <w:snapToGrid w:val="0"/>
                <w:color w:val="auto"/>
                <w:sz w:val="24"/>
              </w:rPr>
              <w:t>0</w:t>
            </w:r>
            <w:r>
              <w:rPr>
                <w:rFonts w:ascii="Times New Roman" w:hAnsi="Times New Roman" w:eastAsia="宋体" w:cs="Times New Roman"/>
                <w:snapToGrid w:val="0"/>
                <w:color w:val="auto"/>
                <w:sz w:val="24"/>
              </w:rPr>
              <w:t>.</w:t>
            </w:r>
            <w:r>
              <w:rPr>
                <w:rFonts w:ascii="Times New Roman" w:hAnsi="Times New Roman" w:eastAsia="仿宋_GB2312" w:cs="Times New Roman"/>
                <w:snapToGrid w:val="0"/>
                <w:color w:val="auto"/>
                <w:sz w:val="24"/>
              </w:rPr>
              <w:t>5</w:t>
            </w:r>
          </w:p>
        </w:tc>
        <w:tc>
          <w:tcPr>
            <w:tcW w:w="835" w:type="dxa"/>
            <w:tcBorders>
              <w:top w:val="single" w:color="000000" w:sz="4" w:space="0"/>
              <w:left w:val="single" w:color="000000" w:sz="4" w:space="0"/>
              <w:bottom w:val="single" w:color="000000" w:sz="8" w:space="0"/>
              <w:right w:val="single" w:color="000000" w:sz="8" w:space="0"/>
            </w:tcBorders>
            <w:shd w:val="clear" w:color="auto" w:fill="auto"/>
            <w:vAlign w:val="center"/>
          </w:tcPr>
          <w:p>
            <w:pPr>
              <w:overflowPunct w:val="0"/>
              <w:spacing w:line="320" w:lineRule="exact"/>
              <w:jc w:val="center"/>
              <w:textAlignment w:val="center"/>
              <w:rPr>
                <w:rFonts w:ascii="Times New Roman" w:hAnsi="Times New Roman" w:eastAsia="仿宋_GB2312" w:cs="Times New Roman"/>
                <w:snapToGrid w:val="0"/>
                <w:color w:val="auto"/>
                <w:sz w:val="24"/>
              </w:rPr>
            </w:pPr>
          </w:p>
        </w:tc>
      </w:tr>
    </w:tbl>
    <w:p>
      <w:pPr>
        <w:pStyle w:val="23"/>
        <w:kinsoku w:val="0"/>
        <w:overflowPunct w:val="0"/>
        <w:autoSpaceDE w:val="0"/>
        <w:autoSpaceDN w:val="0"/>
        <w:spacing w:before="93" w:beforeLines="30" w:line="360" w:lineRule="exact"/>
        <w:ind w:left="4740" w:leftChars="200" w:hanging="4320" w:hangingChars="1800"/>
        <w:textAlignment w:val="center"/>
        <w:rPr>
          <w:rFonts w:ascii="仿宋_GB2312" w:hAnsi="宋体" w:eastAsia="仿宋_GB2312" w:cs="宋体"/>
          <w:sz w:val="24"/>
          <w:szCs w:val="24"/>
        </w:rPr>
      </w:pPr>
      <w:r>
        <w:rPr>
          <w:rFonts w:hint="eastAsia" w:ascii="仿宋_GB2312" w:hAnsi="宋体" w:eastAsia="仿宋_GB2312" w:cs="宋体"/>
          <w:sz w:val="24"/>
          <w:szCs w:val="24"/>
        </w:rPr>
        <w:t>小计（　　）分；　　　　　　　</w:t>
      </w:r>
      <w:r>
        <w:rPr>
          <w:rFonts w:ascii="仿宋_GB2312" w:hAnsi="宋体" w:eastAsia="仿宋_GB2312" w:cs="宋体"/>
          <w:sz w:val="24"/>
          <w:szCs w:val="24"/>
        </w:rPr>
        <w:t>　　　</w:t>
      </w:r>
      <w:r>
        <w:rPr>
          <w:rFonts w:hint="eastAsia" w:ascii="仿宋_GB2312" w:hAnsi="宋体" w:eastAsia="仿宋_GB2312" w:cs="宋体"/>
          <w:sz w:val="24"/>
          <w:szCs w:val="24"/>
        </w:rPr>
        <w:t>检查专家：</w:t>
      </w:r>
      <w:r>
        <w:rPr>
          <w:rFonts w:hint="eastAsia" w:ascii="仿宋_GB2312" w:eastAsia="仿宋_GB2312"/>
          <w:sz w:val="24"/>
          <w:szCs w:val="24"/>
        </w:rPr>
        <w:t>　　　　　　</w:t>
      </w:r>
      <w:r>
        <w:rPr>
          <w:rFonts w:hint="eastAsia" w:ascii="仿宋_GB2312" w:hAnsi="宋体" w:eastAsia="仿宋_GB2312" w:cs="宋体"/>
          <w:sz w:val="24"/>
          <w:szCs w:val="24"/>
        </w:rPr>
        <w:t>日期：</w:t>
      </w:r>
      <w:r>
        <w:rPr>
          <w:rFonts w:ascii="宋体" w:hAnsi="宋体" w:cs="宋体"/>
          <w:spacing w:val="-20"/>
          <w:w w:val="94"/>
        </w:rPr>
        <w:br w:type="page"/>
      </w:r>
    </w:p>
    <w:p>
      <w:pPr>
        <w:spacing w:line="579" w:lineRule="exact"/>
        <w:textAlignment w:val="center"/>
        <w:rPr>
          <w:rFonts w:ascii="Times New Roman" w:hAnsi="Times New Roman" w:eastAsia="黑体"/>
          <w:sz w:val="32"/>
        </w:rPr>
      </w:pPr>
      <w:r>
        <w:rPr>
          <w:rFonts w:ascii="Times New Roman" w:hAnsi="Times New Roman" w:eastAsia="黑体"/>
          <w:sz w:val="32"/>
        </w:rPr>
        <w:t>附录6</w:t>
      </w:r>
      <w:bookmarkStart w:id="12" w:name="_Hlk107242727"/>
    </w:p>
    <w:bookmarkEnd w:id="28"/>
    <w:p>
      <w:pPr>
        <w:overflowPunct w:val="0"/>
        <w:spacing w:line="579" w:lineRule="exact"/>
        <w:ind w:firstLine="643" w:firstLineChars="200"/>
        <w:textAlignment w:val="center"/>
        <w:rPr>
          <w:rFonts w:ascii="Times New Roman" w:hAnsi="Times New Roman" w:eastAsia="仿宋_GB2312"/>
          <w:b/>
          <w:bCs/>
          <w:sz w:val="32"/>
          <w:szCs w:val="32"/>
        </w:rPr>
      </w:pPr>
    </w:p>
    <w:p>
      <w:pPr>
        <w:overflowPunct w:val="0"/>
        <w:spacing w:line="579" w:lineRule="exact"/>
        <w:jc w:val="center"/>
        <w:textAlignment w:val="center"/>
        <w:rPr>
          <w:rFonts w:ascii="方正小标宋_GBK" w:hAnsi="Times New Roman" w:eastAsia="方正小标宋_GBK"/>
          <w:bCs/>
          <w:sz w:val="38"/>
          <w:szCs w:val="38"/>
        </w:rPr>
      </w:pPr>
      <w:r>
        <w:rPr>
          <w:rFonts w:hint="eastAsia" w:ascii="方正小标宋_GBK" w:hAnsi="Times New Roman" w:eastAsia="方正小标宋_GBK"/>
          <w:bCs/>
          <w:sz w:val="38"/>
          <w:szCs w:val="38"/>
        </w:rPr>
        <w:t>示范项目</w:t>
      </w:r>
      <w:bookmarkStart w:id="13" w:name="_Hlk107242521"/>
      <w:bookmarkStart w:id="14" w:name="_Hlk107237265"/>
      <w:r>
        <w:rPr>
          <w:rFonts w:hint="eastAsia" w:ascii="方正小标宋_GBK" w:hAnsi="Times New Roman" w:eastAsia="方正小标宋_GBK"/>
          <w:bCs/>
          <w:sz w:val="38"/>
          <w:szCs w:val="38"/>
        </w:rPr>
        <w:t>验收</w:t>
      </w:r>
      <w:bookmarkEnd w:id="13"/>
      <w:r>
        <w:rPr>
          <w:rFonts w:hint="eastAsia" w:ascii="方正小标宋_GBK" w:hAnsi="Times New Roman" w:eastAsia="方正小标宋_GBK"/>
          <w:bCs/>
          <w:sz w:val="38"/>
          <w:szCs w:val="38"/>
        </w:rPr>
        <w:t>评价资料</w:t>
      </w:r>
      <w:bookmarkEnd w:id="14"/>
      <w:r>
        <w:rPr>
          <w:rFonts w:hint="eastAsia" w:ascii="方正小标宋_GBK" w:hAnsi="Times New Roman" w:eastAsia="方正小标宋_GBK"/>
          <w:bCs/>
          <w:sz w:val="38"/>
          <w:szCs w:val="38"/>
        </w:rPr>
        <w:t>要求</w:t>
      </w:r>
      <w:bookmarkEnd w:id="12"/>
    </w:p>
    <w:p>
      <w:pPr>
        <w:overflowPunct w:val="0"/>
        <w:spacing w:line="579" w:lineRule="exact"/>
        <w:ind w:firstLine="640" w:firstLineChars="200"/>
        <w:textAlignment w:val="center"/>
        <w:rPr>
          <w:rFonts w:ascii="Times New Roman" w:hAnsi="Times New Roman" w:eastAsia="仿宋_GB2312"/>
          <w:sz w:val="32"/>
          <w:szCs w:val="32"/>
        </w:rPr>
      </w:pPr>
    </w:p>
    <w:p>
      <w:pPr>
        <w:overflowPunct w:val="0"/>
        <w:spacing w:line="579" w:lineRule="exact"/>
        <w:ind w:firstLine="640" w:firstLineChars="200"/>
        <w:textAlignment w:val="center"/>
        <w:rPr>
          <w:rFonts w:ascii="黑体" w:hAnsi="黑体" w:eastAsia="黑体"/>
          <w:bCs/>
          <w:kern w:val="0"/>
          <w:sz w:val="32"/>
          <w:szCs w:val="32"/>
        </w:rPr>
      </w:pPr>
      <w:r>
        <w:rPr>
          <w:rFonts w:ascii="黑体" w:hAnsi="黑体" w:eastAsia="黑体"/>
          <w:bCs/>
          <w:kern w:val="0"/>
          <w:sz w:val="32"/>
          <w:szCs w:val="32"/>
        </w:rPr>
        <w:t>一、验收评价</w:t>
      </w:r>
      <w:bookmarkStart w:id="15" w:name="_Hlk107242479"/>
      <w:r>
        <w:rPr>
          <w:rFonts w:ascii="黑体" w:hAnsi="黑体" w:eastAsia="黑体"/>
          <w:bCs/>
          <w:kern w:val="0"/>
          <w:sz w:val="32"/>
          <w:szCs w:val="32"/>
        </w:rPr>
        <w:t>资料</w:t>
      </w:r>
      <w:bookmarkEnd w:id="15"/>
      <w:r>
        <w:rPr>
          <w:rFonts w:ascii="黑体" w:hAnsi="黑体" w:eastAsia="黑体"/>
          <w:bCs/>
          <w:kern w:val="0"/>
          <w:sz w:val="32"/>
          <w:szCs w:val="32"/>
        </w:rPr>
        <w:t>具体要求如下：</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kern w:val="0"/>
          <w:sz w:val="32"/>
          <w:szCs w:val="32"/>
        </w:rPr>
        <w:t>1</w:t>
      </w:r>
      <w:r>
        <w:rPr>
          <w:rFonts w:ascii="宋体" w:hAnsi="宋体"/>
          <w:kern w:val="0"/>
          <w:sz w:val="32"/>
          <w:szCs w:val="32"/>
        </w:rPr>
        <w:t>.</w:t>
      </w:r>
      <w:bookmarkStart w:id="16" w:name="_Hlk107239334"/>
      <w:r>
        <w:rPr>
          <w:rFonts w:ascii="Times New Roman" w:hAnsi="Times New Roman" w:eastAsia="仿宋_GB2312"/>
          <w:sz w:val="32"/>
          <w:szCs w:val="32"/>
        </w:rPr>
        <w:t>《验收评价申请表》</w:t>
      </w:r>
      <w:bookmarkEnd w:id="16"/>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2</w:t>
      </w:r>
      <w:r>
        <w:rPr>
          <w:rFonts w:ascii="宋体" w:hAnsi="宋体"/>
          <w:sz w:val="32"/>
          <w:szCs w:val="32"/>
        </w:rPr>
        <w:t>.</w:t>
      </w:r>
      <w:r>
        <w:rPr>
          <w:rFonts w:ascii="Times New Roman" w:hAnsi="Times New Roman" w:eastAsia="仿宋_GB2312"/>
          <w:sz w:val="32"/>
          <w:szCs w:val="32"/>
        </w:rPr>
        <w:t>工程竣工验收证书</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3</w:t>
      </w:r>
      <w:r>
        <w:rPr>
          <w:rFonts w:ascii="宋体" w:hAnsi="宋体"/>
          <w:sz w:val="32"/>
          <w:szCs w:val="32"/>
        </w:rPr>
        <w:t>.</w:t>
      </w:r>
      <w:bookmarkStart w:id="17" w:name="_Hlk107239350"/>
      <w:r>
        <w:rPr>
          <w:rFonts w:ascii="Times New Roman" w:hAnsi="Times New Roman" w:eastAsia="仿宋_GB2312"/>
          <w:sz w:val="32"/>
          <w:szCs w:val="32"/>
        </w:rPr>
        <w:t>绿色施工实施策划方案</w:t>
      </w:r>
      <w:bookmarkEnd w:id="17"/>
      <w:bookmarkStart w:id="18" w:name="_Hlk107239790"/>
      <w:r>
        <w:rPr>
          <w:rFonts w:ascii="Times New Roman" w:hAnsi="Times New Roman" w:eastAsia="仿宋_GB2312"/>
          <w:sz w:val="32"/>
          <w:szCs w:val="32"/>
        </w:rPr>
        <w:t>（一式3份）</w:t>
      </w:r>
      <w:bookmarkEnd w:id="18"/>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4</w:t>
      </w:r>
      <w:r>
        <w:rPr>
          <w:rFonts w:ascii="宋体" w:hAnsi="宋体"/>
          <w:sz w:val="32"/>
          <w:szCs w:val="32"/>
        </w:rPr>
        <w:t>.</w:t>
      </w:r>
      <w:bookmarkStart w:id="19" w:name="_Hlk107239396"/>
      <w:r>
        <w:rPr>
          <w:rFonts w:ascii="Times New Roman" w:hAnsi="Times New Roman" w:eastAsia="仿宋_GB2312"/>
          <w:sz w:val="32"/>
          <w:szCs w:val="32"/>
        </w:rPr>
        <w:t>《验收评价表》</w:t>
      </w:r>
      <w:bookmarkEnd w:id="19"/>
      <w:r>
        <w:rPr>
          <w:rFonts w:ascii="Times New Roman" w:hAnsi="Times New Roman" w:eastAsia="仿宋_GB2312"/>
          <w:sz w:val="32"/>
          <w:szCs w:val="32"/>
        </w:rPr>
        <w:t>的自评表（一式3份）</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5</w:t>
      </w:r>
      <w:r>
        <w:rPr>
          <w:rFonts w:ascii="宋体" w:hAnsi="宋体"/>
          <w:sz w:val="32"/>
          <w:szCs w:val="32"/>
        </w:rPr>
        <w:t>.</w:t>
      </w:r>
      <w:bookmarkStart w:id="20" w:name="_Hlk107239454"/>
      <w:r>
        <w:rPr>
          <w:rFonts w:ascii="Times New Roman" w:hAnsi="Times New Roman" w:eastAsia="仿宋_GB2312"/>
          <w:sz w:val="32"/>
          <w:szCs w:val="32"/>
        </w:rPr>
        <w:t>绿色施工总结报告</w:t>
      </w:r>
      <w:bookmarkEnd w:id="20"/>
      <w:r>
        <w:rPr>
          <w:rFonts w:ascii="Times New Roman" w:hAnsi="Times New Roman" w:eastAsia="仿宋_GB2312"/>
          <w:sz w:val="32"/>
          <w:szCs w:val="32"/>
        </w:rPr>
        <w:t>（一式3份）</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绿色施工总结报告内容应包括：工程概况、</w:t>
      </w:r>
      <w:bookmarkStart w:id="21" w:name="_Hlk107241117"/>
      <w:r>
        <w:rPr>
          <w:rFonts w:ascii="Times New Roman" w:hAnsi="Times New Roman" w:eastAsia="仿宋_GB2312"/>
          <w:sz w:val="32"/>
          <w:szCs w:val="32"/>
        </w:rPr>
        <w:t>绿色施工</w:t>
      </w:r>
      <w:bookmarkEnd w:id="21"/>
      <w:r>
        <w:rPr>
          <w:rFonts w:ascii="Times New Roman" w:hAnsi="Times New Roman" w:eastAsia="仿宋_GB2312"/>
          <w:sz w:val="32"/>
          <w:szCs w:val="32"/>
        </w:rPr>
        <w:t>组织和管理、项目</w:t>
      </w:r>
      <w:bookmarkStart w:id="22" w:name="_Hlk107241787"/>
      <w:r>
        <w:rPr>
          <w:rFonts w:ascii="Times New Roman" w:hAnsi="Times New Roman" w:eastAsia="仿宋_GB2312"/>
          <w:sz w:val="32"/>
          <w:szCs w:val="32"/>
        </w:rPr>
        <w:t>绿色施工技术</w:t>
      </w:r>
      <w:bookmarkStart w:id="23" w:name="_Hlk107241043"/>
      <w:r>
        <w:rPr>
          <w:rFonts w:ascii="Times New Roman" w:hAnsi="Times New Roman" w:eastAsia="仿宋_GB2312"/>
          <w:spacing w:val="1"/>
          <w:sz w:val="32"/>
          <w:szCs w:val="32"/>
        </w:rPr>
        <w:t>创新</w:t>
      </w:r>
      <w:bookmarkEnd w:id="22"/>
      <w:bookmarkEnd w:id="23"/>
      <w:r>
        <w:rPr>
          <w:rFonts w:ascii="Times New Roman" w:hAnsi="Times New Roman" w:eastAsia="仿宋_GB2312"/>
          <w:sz w:val="32"/>
          <w:szCs w:val="32"/>
        </w:rPr>
        <w:t>与应用，取得的效果（目标</w:t>
      </w:r>
      <w:bookmarkStart w:id="24" w:name="_Hlk107241005"/>
      <w:r>
        <w:rPr>
          <w:rFonts w:ascii="Times New Roman" w:hAnsi="Times New Roman" w:eastAsia="仿宋_GB2312"/>
          <w:sz w:val="32"/>
          <w:szCs w:val="32"/>
        </w:rPr>
        <w:t>成效</w:t>
      </w:r>
      <w:bookmarkEnd w:id="24"/>
      <w:r>
        <w:rPr>
          <w:rFonts w:ascii="Times New Roman" w:hAnsi="Times New Roman" w:eastAsia="仿宋_GB2312"/>
          <w:sz w:val="32"/>
          <w:szCs w:val="32"/>
        </w:rPr>
        <w:t>、综合效益及相关成果获奖）以及体会与建议等。</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6</w:t>
      </w:r>
      <w:r>
        <w:rPr>
          <w:rFonts w:ascii="宋体" w:hAnsi="宋体"/>
          <w:sz w:val="32"/>
          <w:szCs w:val="32"/>
        </w:rPr>
        <w:t>.</w:t>
      </w:r>
      <w:r>
        <w:rPr>
          <w:rFonts w:ascii="Times New Roman" w:hAnsi="Times New Roman" w:eastAsia="仿宋_GB2312"/>
          <w:sz w:val="32"/>
          <w:szCs w:val="32"/>
        </w:rPr>
        <w:t>相关绿色施工过程的</w:t>
      </w:r>
      <w:bookmarkStart w:id="25" w:name="_Hlk107241865"/>
      <w:r>
        <w:rPr>
          <w:rFonts w:ascii="Times New Roman" w:hAnsi="Times New Roman" w:eastAsia="仿宋_GB2312"/>
          <w:sz w:val="32"/>
          <w:szCs w:val="32"/>
        </w:rPr>
        <w:t>证实性材料</w:t>
      </w:r>
      <w:bookmarkEnd w:id="25"/>
      <w:r>
        <w:rPr>
          <w:rFonts w:ascii="Times New Roman" w:hAnsi="Times New Roman" w:eastAsia="仿宋_GB2312"/>
          <w:sz w:val="32"/>
          <w:szCs w:val="32"/>
        </w:rPr>
        <w:t>，包括产生的直接经济效益和社会效益及总结出的技术规范、工艺、工法等</w:t>
      </w:r>
      <w:r>
        <w:rPr>
          <w:rFonts w:hint="eastAsia" w:ascii="Times New Roman" w:hAnsi="Times New Roman" w:eastAsia="仿宋_GB2312"/>
          <w:sz w:val="32"/>
          <w:szCs w:val="32"/>
        </w:rPr>
        <w:t>。</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7</w:t>
      </w:r>
      <w:r>
        <w:rPr>
          <w:rFonts w:ascii="宋体" w:hAnsi="宋体"/>
          <w:sz w:val="32"/>
          <w:szCs w:val="32"/>
        </w:rPr>
        <w:t>.</w:t>
      </w:r>
      <w:r>
        <w:rPr>
          <w:rFonts w:ascii="Times New Roman" w:hAnsi="Times New Roman" w:eastAsia="仿宋_GB2312"/>
          <w:sz w:val="32"/>
          <w:szCs w:val="32"/>
        </w:rPr>
        <w:t>视频资料（一般不少于5分钟）或PPT幻灯片。</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视频资料或PPT幻灯片应包括工程概况、施工现场重点部位</w:t>
      </w:r>
      <w:r>
        <w:rPr>
          <w:rFonts w:hint="eastAsia" w:ascii="方正书宋_GBK" w:hAnsi="Times New Roman" w:eastAsia="方正书宋_GBK"/>
          <w:sz w:val="32"/>
          <w:szCs w:val="32"/>
        </w:rPr>
        <w:t>“</w:t>
      </w:r>
      <w:r>
        <w:rPr>
          <w:rFonts w:ascii="Times New Roman" w:hAnsi="Times New Roman" w:eastAsia="仿宋_GB2312"/>
          <w:sz w:val="32"/>
          <w:szCs w:val="32"/>
        </w:rPr>
        <w:t>四节一环保</w:t>
      </w:r>
      <w:r>
        <w:rPr>
          <w:rFonts w:hint="eastAsia" w:ascii="方正书宋_GBK" w:hAnsi="Times New Roman" w:eastAsia="方正书宋_GBK"/>
          <w:sz w:val="32"/>
          <w:szCs w:val="32"/>
        </w:rPr>
        <w:t>”</w:t>
      </w:r>
      <w:r>
        <w:rPr>
          <w:rFonts w:ascii="Times New Roman" w:hAnsi="Times New Roman" w:eastAsia="仿宋_GB2312"/>
          <w:sz w:val="32"/>
          <w:szCs w:val="32"/>
        </w:rPr>
        <w:t>及绿色施工技术</w:t>
      </w:r>
      <w:r>
        <w:rPr>
          <w:rFonts w:ascii="Times New Roman" w:hAnsi="Times New Roman" w:eastAsia="仿宋_GB2312"/>
          <w:spacing w:val="1"/>
          <w:sz w:val="32"/>
          <w:szCs w:val="32"/>
        </w:rPr>
        <w:t>创新</w:t>
      </w:r>
      <w:r>
        <w:rPr>
          <w:rFonts w:ascii="Times New Roman" w:hAnsi="Times New Roman" w:eastAsia="仿宋_GB2312"/>
          <w:sz w:val="32"/>
          <w:szCs w:val="32"/>
        </w:rPr>
        <w:t>成效的介绍。</w:t>
      </w:r>
    </w:p>
    <w:p>
      <w:pPr>
        <w:overflowPunct w:val="0"/>
        <w:spacing w:line="579" w:lineRule="exact"/>
        <w:ind w:firstLine="640" w:firstLineChars="200"/>
        <w:textAlignment w:val="center"/>
        <w:rPr>
          <w:rFonts w:ascii="黑体" w:hAnsi="黑体" w:eastAsia="黑体"/>
          <w:bCs/>
          <w:kern w:val="0"/>
          <w:sz w:val="32"/>
          <w:szCs w:val="32"/>
        </w:rPr>
      </w:pPr>
      <w:r>
        <w:rPr>
          <w:rFonts w:ascii="黑体" w:hAnsi="黑体" w:eastAsia="黑体"/>
          <w:bCs/>
          <w:sz w:val="32"/>
          <w:szCs w:val="32"/>
        </w:rPr>
        <w:t>二、</w:t>
      </w:r>
      <w:bookmarkStart w:id="26" w:name="_Hlk99554043"/>
      <w:r>
        <w:rPr>
          <w:rFonts w:ascii="黑体" w:hAnsi="黑体" w:eastAsia="黑体"/>
          <w:bCs/>
          <w:kern w:val="0"/>
          <w:sz w:val="32"/>
          <w:szCs w:val="32"/>
        </w:rPr>
        <w:t>评价</w:t>
      </w:r>
      <w:bookmarkEnd w:id="26"/>
      <w:r>
        <w:rPr>
          <w:rFonts w:ascii="黑体" w:hAnsi="黑体" w:eastAsia="黑体"/>
          <w:bCs/>
          <w:kern w:val="0"/>
          <w:sz w:val="32"/>
          <w:szCs w:val="32"/>
        </w:rPr>
        <w:t>资料装订要求：</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kern w:val="0"/>
          <w:sz w:val="32"/>
          <w:szCs w:val="32"/>
        </w:rPr>
        <w:t>1</w:t>
      </w:r>
      <w:r>
        <w:rPr>
          <w:rFonts w:ascii="宋体" w:hAnsi="宋体"/>
          <w:kern w:val="0"/>
          <w:sz w:val="32"/>
          <w:szCs w:val="32"/>
        </w:rPr>
        <w:t>.</w:t>
      </w:r>
      <w:r>
        <w:rPr>
          <w:rFonts w:ascii="Times New Roman" w:hAnsi="Times New Roman" w:eastAsia="仿宋_GB2312"/>
          <w:sz w:val="32"/>
          <w:szCs w:val="32"/>
        </w:rPr>
        <w:t>《验收评价申请表》、</w:t>
      </w:r>
      <w:bookmarkStart w:id="27" w:name="_Hlk100657921"/>
      <w:r>
        <w:rPr>
          <w:rFonts w:ascii="Times New Roman" w:hAnsi="Times New Roman" w:eastAsia="仿宋_GB2312"/>
          <w:sz w:val="32"/>
          <w:szCs w:val="32"/>
        </w:rPr>
        <w:t>绿色施工实施策划方案、《验收评价表》、</w:t>
      </w:r>
      <w:bookmarkEnd w:id="27"/>
      <w:r>
        <w:rPr>
          <w:rFonts w:ascii="Times New Roman" w:hAnsi="Times New Roman" w:eastAsia="仿宋_GB2312"/>
          <w:sz w:val="32"/>
          <w:szCs w:val="32"/>
        </w:rPr>
        <w:t>绿色施工总结报告等四部分内容要求独立装订成册，封皮采用250g铜板纸。</w:t>
      </w:r>
    </w:p>
    <w:p>
      <w:pPr>
        <w:overflowPunct w:val="0"/>
        <w:spacing w:line="579"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2</w:t>
      </w:r>
      <w:r>
        <w:rPr>
          <w:rFonts w:ascii="宋体" w:hAnsi="宋体"/>
          <w:sz w:val="32"/>
          <w:szCs w:val="32"/>
        </w:rPr>
        <w:t>.</w:t>
      </w:r>
      <w:r>
        <w:rPr>
          <w:rFonts w:ascii="Times New Roman" w:hAnsi="Times New Roman" w:eastAsia="仿宋_GB2312"/>
          <w:spacing w:val="6"/>
          <w:sz w:val="32"/>
          <w:szCs w:val="32"/>
        </w:rPr>
        <w:t>证实性材料按文档分类组卷平装，装订尺寸为A4纸规格。</w:t>
      </w:r>
    </w:p>
    <w:p>
      <w:pPr>
        <w:overflowPunct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宋体" w:hAnsi="宋体"/>
          <w:sz w:val="32"/>
          <w:szCs w:val="32"/>
        </w:rPr>
        <w:t>.</w:t>
      </w:r>
      <w:r>
        <w:rPr>
          <w:rFonts w:ascii="Times New Roman" w:hAnsi="Times New Roman" w:eastAsia="仿宋_GB2312"/>
          <w:sz w:val="32"/>
          <w:szCs w:val="32"/>
        </w:rPr>
        <w:t>验收评价资料电子档（含视频资料）拷贝到U盘一份，连同书面材料统一装入A4规格硬质塑料文件盒。</w:t>
      </w: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overflowPunct w:val="0"/>
        <w:spacing w:line="597" w:lineRule="exact"/>
        <w:ind w:firstLine="640" w:firstLineChars="200"/>
        <w:rPr>
          <w:rFonts w:ascii="Times New Roman" w:hAnsi="Times New Roman" w:eastAsia="仿宋_GB2312"/>
          <w:sz w:val="32"/>
          <w:szCs w:val="32"/>
        </w:rPr>
      </w:pPr>
    </w:p>
    <w:p>
      <w:pPr>
        <w:spacing w:before="218" w:beforeLines="70" w:line="58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pict>
          <v:rect id="_x0000_s1069" o:spid="_x0000_s1069" o:spt="1" style="position:absolute;left:0pt;margin-left:-0.25pt;margin-top:64.65pt;height:21.45pt;width:56.7pt;z-index:251664384;mso-width-relative:page;mso-height-relative:page;" stroked="f" coordsize="21600,21600">
            <v:path/>
            <v:fill focussize="0,0"/>
            <v:stroke on="f"/>
            <v:imagedata o:title=""/>
            <o:lock v:ext="edit"/>
          </v:rect>
        </w:pict>
      </w:r>
      <w:r>
        <w:rPr>
          <w:rFonts w:ascii="Times New Roman" w:hAnsi="Times New Roman" w:eastAsia="仿宋_GB2312"/>
          <w:sz w:val="32"/>
          <w:szCs w:val="32"/>
        </w:rPr>
        <w:pict>
          <v:group id="_x0000_s1066" o:spid="_x0000_s1066" o:spt="203" style="position:absolute;left:0pt;margin-left:0.9pt;margin-top:13.4pt;height:29.2pt;width:440.6pt;z-index:251663360;mso-width-relative:page;mso-height-relative:page;" coordorigin="1549,13548" coordsize="8812,584">
            <o:lock v:ext="edit"/>
            <v:line id="Line 4" o:spid="_x0000_s1067" o:spt="20" style="position:absolute;left:1560;top:14132;height:0;width:880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path arrowok="t"/>
              <v:fill focussize="0,0"/>
              <v:stroke/>
              <v:imagedata o:title=""/>
              <o:lock v:ext="edit"/>
            </v:line>
            <v:line id="Line 3" o:spid="_x0000_s1068" o:spt="20" style="position:absolute;left:1549;top:13548;height:0;width:880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path arrowok="t"/>
              <v:fill focussize="0,0"/>
              <v:stroke/>
              <v:imagedata o:title=""/>
              <o:lock v:ext="edit"/>
            </v:line>
          </v:group>
        </w:pict>
      </w:r>
      <w:r>
        <w:rPr>
          <w:rFonts w:ascii="Times New Roman" w:hAnsi="Times New Roman" w:eastAsia="仿宋_GB2312"/>
          <w:sz w:val="32"/>
          <w:szCs w:val="32"/>
        </w:rPr>
        <w:pict>
          <v:rect id="_x0000_s1065" o:spid="_x0000_s1065" o:spt="1" style="position:absolute;left:0pt;margin-left:66.05pt;margin-top:744.2pt;height:50.05pt;width:78.7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">
            <v:path/>
            <v:fill focussize="0,0"/>
            <v:stroke weight="1.25pt" color="#FFFFFF"/>
            <v:imagedata o:title=""/>
            <o:lock v:ext="edit"/>
          </v:rect>
        </w:pict>
      </w:r>
      <w:r>
        <w:rPr>
          <w:rFonts w:hint="eastAsia" w:ascii="Times New Roman" w:hAnsi="Times New Roman" w:eastAsia="仿宋_GB2312"/>
          <w:sz w:val="32"/>
          <w:szCs w:val="32"/>
        </w:rPr>
        <w:t>湖北省市政工程协会秘书处　</w:t>
      </w:r>
      <w:r>
        <w:rPr>
          <w:rFonts w:ascii="Times New Roman" w:hAnsi="Times New Roman" w:eastAsia="仿宋_GB2312"/>
          <w:sz w:val="32"/>
          <w:szCs w:val="32"/>
        </w:rPr>
        <w:t>　　　</w:t>
      </w:r>
      <w:r>
        <w:rPr>
          <w:rFonts w:hint="eastAsia" w:ascii="Times New Roman" w:hAnsi="Times New Roman" w:eastAsia="仿宋_GB2312"/>
          <w:sz w:val="32"/>
          <w:szCs w:val="32"/>
        </w:rPr>
        <w:t>20</w:t>
      </w:r>
      <w:r>
        <w:rPr>
          <w:rFonts w:ascii="Times New Roman" w:hAnsi="Times New Roman" w:eastAsia="仿宋_GB2312"/>
          <w:sz w:val="32"/>
          <w:szCs w:val="32"/>
        </w:rPr>
        <w:t>22</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日印发　</w:t>
      </w:r>
      <w:r>
        <w:rPr>
          <w:rFonts w:ascii="Times New Roman" w:hAnsi="Times New Roman" w:eastAsia="仿宋_GB2312"/>
          <w:sz w:val="32"/>
          <w:szCs w:val="32"/>
        </w:rPr>
        <w:pict>
          <v:rect id="_x0000_s1030" o:spid="_x0000_s1030" o:spt="1" style="position:absolute;left:0pt;margin-left:66.05pt;margin-top:744.2pt;height:50.05pt;width:78.7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">
            <v:path/>
            <v:fill focussize="0,0"/>
            <v:stroke weight="1.25pt" color="#FFFFFF"/>
            <v:imagedata o:title=""/>
            <o:lock v:ext="edit"/>
          </v:rect>
        </w:pict>
      </w:r>
    </w:p>
    <w:sectPr>
      <w:headerReference r:id="rId8" w:type="default"/>
      <w:footerReference r:id="rId9" w:type="default"/>
      <w:pgSz w:w="11900" w:h="16830"/>
      <w:pgMar w:top="1871" w:right="1531" w:bottom="2211"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1</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9</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13</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22</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34</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szCs w:val="28"/>
      </w:rPr>
    </w:pPr>
    <w:r>
      <w:rPr>
        <w:rStyle w:val="14"/>
        <w:rFonts w:hint="eastAsia"/>
        <w:sz w:val="28"/>
        <w:szCs w:val="28"/>
      </w:rPr>
      <w:t xml:space="preserve">— </w:t>
    </w:r>
    <w:r>
      <w:rPr>
        <w:rStyle w:val="14"/>
        <w:rFonts w:ascii="Times New Roman" w:hAnsi="Times New Roman" w:eastAsia="方正小标宋简体"/>
        <w:sz w:val="28"/>
        <w:szCs w:val="28"/>
      </w:rPr>
      <w:fldChar w:fldCharType="begin"/>
    </w:r>
    <w:r>
      <w:rPr>
        <w:rStyle w:val="14"/>
        <w:rFonts w:ascii="Times New Roman" w:hAnsi="Times New Roman" w:eastAsia="方正小标宋简体"/>
        <w:sz w:val="28"/>
        <w:szCs w:val="28"/>
      </w:rPr>
      <w:instrText xml:space="preserve">PAGE  </w:instrText>
    </w:r>
    <w:r>
      <w:rPr>
        <w:rStyle w:val="14"/>
        <w:rFonts w:ascii="Times New Roman" w:hAnsi="Times New Roman" w:eastAsia="方正小标宋简体"/>
        <w:sz w:val="28"/>
        <w:szCs w:val="28"/>
      </w:rPr>
      <w:fldChar w:fldCharType="separate"/>
    </w:r>
    <w:r>
      <w:rPr>
        <w:rStyle w:val="14"/>
        <w:rFonts w:ascii="Times New Roman" w:hAnsi="Times New Roman" w:eastAsia="方正小标宋简体"/>
        <w:sz w:val="28"/>
        <w:szCs w:val="28"/>
      </w:rPr>
      <w:t>56</w:t>
    </w:r>
    <w:r>
      <w:rPr>
        <w:rStyle w:val="14"/>
        <w:rFonts w:ascii="Times New Roman" w:hAnsi="Times New Roman" w:eastAsia="方正小标宋简体"/>
        <w:sz w:val="28"/>
        <w:szCs w:val="28"/>
      </w:rPr>
      <w:fldChar w:fldCharType="end"/>
    </w:r>
    <w:r>
      <w:rPr>
        <w:rStyle w:val="14"/>
        <w:rFonts w:hint="eastAsia" w:ascii="Times New Roman" w:hAnsi="Times New Roman" w:eastAsia="方正小标宋简体"/>
        <w:sz w:val="28"/>
        <w:szCs w:val="28"/>
      </w:rPr>
      <w:t xml:space="preserve"> </w:t>
    </w:r>
    <w:r>
      <w:rPr>
        <w:rStyle w:val="14"/>
        <w:rFonts w:hint="eastAsia"/>
        <w:sz w:val="28"/>
        <w:szCs w:val="28"/>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5NjdjZWMwNmU1ZTRhNDQyNmEyNDhiMmZhNDQ4NDQifQ=="/>
  </w:docVars>
  <w:rsids>
    <w:rsidRoot w:val="00EC5BFB"/>
    <w:rsid w:val="00003E84"/>
    <w:rsid w:val="00005565"/>
    <w:rsid w:val="00005BCD"/>
    <w:rsid w:val="000118B4"/>
    <w:rsid w:val="0001721C"/>
    <w:rsid w:val="0001760C"/>
    <w:rsid w:val="00017CED"/>
    <w:rsid w:val="000217BD"/>
    <w:rsid w:val="000237E8"/>
    <w:rsid w:val="00024806"/>
    <w:rsid w:val="00026358"/>
    <w:rsid w:val="00027B1C"/>
    <w:rsid w:val="00030DC2"/>
    <w:rsid w:val="000311AA"/>
    <w:rsid w:val="00032B98"/>
    <w:rsid w:val="00036245"/>
    <w:rsid w:val="000410B9"/>
    <w:rsid w:val="00043C9B"/>
    <w:rsid w:val="00045422"/>
    <w:rsid w:val="00052690"/>
    <w:rsid w:val="00057C36"/>
    <w:rsid w:val="00057DFD"/>
    <w:rsid w:val="00061633"/>
    <w:rsid w:val="0006396D"/>
    <w:rsid w:val="00064850"/>
    <w:rsid w:val="00065B68"/>
    <w:rsid w:val="00067AC7"/>
    <w:rsid w:val="00067C29"/>
    <w:rsid w:val="00070533"/>
    <w:rsid w:val="0007365A"/>
    <w:rsid w:val="00073FD7"/>
    <w:rsid w:val="0008283A"/>
    <w:rsid w:val="00087170"/>
    <w:rsid w:val="00091B6C"/>
    <w:rsid w:val="000925DE"/>
    <w:rsid w:val="00095130"/>
    <w:rsid w:val="00097BCD"/>
    <w:rsid w:val="000A1E4F"/>
    <w:rsid w:val="000A31D5"/>
    <w:rsid w:val="000A593A"/>
    <w:rsid w:val="000B5DCC"/>
    <w:rsid w:val="000C24B0"/>
    <w:rsid w:val="000D2B14"/>
    <w:rsid w:val="000D39AE"/>
    <w:rsid w:val="000D4FCC"/>
    <w:rsid w:val="000D6BEC"/>
    <w:rsid w:val="000E0C9C"/>
    <w:rsid w:val="000E1679"/>
    <w:rsid w:val="000E3438"/>
    <w:rsid w:val="000E34FF"/>
    <w:rsid w:val="000E4D83"/>
    <w:rsid w:val="000E6401"/>
    <w:rsid w:val="000F01B9"/>
    <w:rsid w:val="000F3E54"/>
    <w:rsid w:val="001044DF"/>
    <w:rsid w:val="001123DF"/>
    <w:rsid w:val="00114D5B"/>
    <w:rsid w:val="00116C82"/>
    <w:rsid w:val="00117B54"/>
    <w:rsid w:val="00121212"/>
    <w:rsid w:val="00123006"/>
    <w:rsid w:val="001239B6"/>
    <w:rsid w:val="00125FF2"/>
    <w:rsid w:val="00127C45"/>
    <w:rsid w:val="00130E35"/>
    <w:rsid w:val="00141760"/>
    <w:rsid w:val="00142114"/>
    <w:rsid w:val="0014293F"/>
    <w:rsid w:val="001508C9"/>
    <w:rsid w:val="00150A3C"/>
    <w:rsid w:val="001520BE"/>
    <w:rsid w:val="00152617"/>
    <w:rsid w:val="00154C69"/>
    <w:rsid w:val="00156152"/>
    <w:rsid w:val="00161870"/>
    <w:rsid w:val="001634D5"/>
    <w:rsid w:val="001662CA"/>
    <w:rsid w:val="001664D7"/>
    <w:rsid w:val="001719B6"/>
    <w:rsid w:val="001829B0"/>
    <w:rsid w:val="001916B2"/>
    <w:rsid w:val="001938BB"/>
    <w:rsid w:val="00194DFA"/>
    <w:rsid w:val="001964AD"/>
    <w:rsid w:val="0019717D"/>
    <w:rsid w:val="00197B51"/>
    <w:rsid w:val="001A1C8E"/>
    <w:rsid w:val="001A30A2"/>
    <w:rsid w:val="001A7F2E"/>
    <w:rsid w:val="001B54FE"/>
    <w:rsid w:val="001C2F7F"/>
    <w:rsid w:val="001C5E52"/>
    <w:rsid w:val="001D0963"/>
    <w:rsid w:val="001D235B"/>
    <w:rsid w:val="001D2EE0"/>
    <w:rsid w:val="001D4177"/>
    <w:rsid w:val="001D4693"/>
    <w:rsid w:val="001D664C"/>
    <w:rsid w:val="001E0AC7"/>
    <w:rsid w:val="001E152E"/>
    <w:rsid w:val="001E2D86"/>
    <w:rsid w:val="001F0144"/>
    <w:rsid w:val="001F12FC"/>
    <w:rsid w:val="001F6BF3"/>
    <w:rsid w:val="001F7215"/>
    <w:rsid w:val="001F7B27"/>
    <w:rsid w:val="002025C8"/>
    <w:rsid w:val="00207899"/>
    <w:rsid w:val="00211093"/>
    <w:rsid w:val="002125B6"/>
    <w:rsid w:val="0021289C"/>
    <w:rsid w:val="00217568"/>
    <w:rsid w:val="00217FA6"/>
    <w:rsid w:val="00222904"/>
    <w:rsid w:val="00230F47"/>
    <w:rsid w:val="00233A3A"/>
    <w:rsid w:val="002362A5"/>
    <w:rsid w:val="002373BF"/>
    <w:rsid w:val="00237CF9"/>
    <w:rsid w:val="00243B38"/>
    <w:rsid w:val="00244D6C"/>
    <w:rsid w:val="00245ABE"/>
    <w:rsid w:val="00254E78"/>
    <w:rsid w:val="00260A65"/>
    <w:rsid w:val="00265738"/>
    <w:rsid w:val="002669BB"/>
    <w:rsid w:val="00276724"/>
    <w:rsid w:val="00277341"/>
    <w:rsid w:val="00277B79"/>
    <w:rsid w:val="002805FA"/>
    <w:rsid w:val="00283233"/>
    <w:rsid w:val="002843CF"/>
    <w:rsid w:val="0028493B"/>
    <w:rsid w:val="00286574"/>
    <w:rsid w:val="002866D4"/>
    <w:rsid w:val="00286972"/>
    <w:rsid w:val="00286C46"/>
    <w:rsid w:val="0029040A"/>
    <w:rsid w:val="00292283"/>
    <w:rsid w:val="00292A31"/>
    <w:rsid w:val="002A1C78"/>
    <w:rsid w:val="002A1CFE"/>
    <w:rsid w:val="002A2059"/>
    <w:rsid w:val="002A4635"/>
    <w:rsid w:val="002A6A6A"/>
    <w:rsid w:val="002A6A93"/>
    <w:rsid w:val="002B56B1"/>
    <w:rsid w:val="002B6361"/>
    <w:rsid w:val="002B6815"/>
    <w:rsid w:val="002B7E01"/>
    <w:rsid w:val="002C2BC4"/>
    <w:rsid w:val="002C3BE6"/>
    <w:rsid w:val="002C58E5"/>
    <w:rsid w:val="002C64F9"/>
    <w:rsid w:val="002D220D"/>
    <w:rsid w:val="002D2A4C"/>
    <w:rsid w:val="002D519C"/>
    <w:rsid w:val="002D7C07"/>
    <w:rsid w:val="002E0EE4"/>
    <w:rsid w:val="002E2199"/>
    <w:rsid w:val="002E55E5"/>
    <w:rsid w:val="002E636E"/>
    <w:rsid w:val="002F10CA"/>
    <w:rsid w:val="002F1355"/>
    <w:rsid w:val="002F4AFA"/>
    <w:rsid w:val="002F4B08"/>
    <w:rsid w:val="0030364E"/>
    <w:rsid w:val="003053E1"/>
    <w:rsid w:val="003062BE"/>
    <w:rsid w:val="003066AB"/>
    <w:rsid w:val="0031442B"/>
    <w:rsid w:val="00325D25"/>
    <w:rsid w:val="00326B08"/>
    <w:rsid w:val="00327D0B"/>
    <w:rsid w:val="00334477"/>
    <w:rsid w:val="003359C8"/>
    <w:rsid w:val="0033643D"/>
    <w:rsid w:val="00342EB3"/>
    <w:rsid w:val="00343268"/>
    <w:rsid w:val="00350B09"/>
    <w:rsid w:val="00351E96"/>
    <w:rsid w:val="0035349E"/>
    <w:rsid w:val="00356A57"/>
    <w:rsid w:val="00357FC8"/>
    <w:rsid w:val="00362395"/>
    <w:rsid w:val="0036370F"/>
    <w:rsid w:val="0036386B"/>
    <w:rsid w:val="00370776"/>
    <w:rsid w:val="0037159D"/>
    <w:rsid w:val="003730EB"/>
    <w:rsid w:val="00373FB4"/>
    <w:rsid w:val="00376BF0"/>
    <w:rsid w:val="003834D7"/>
    <w:rsid w:val="00383717"/>
    <w:rsid w:val="003910D2"/>
    <w:rsid w:val="00392EEC"/>
    <w:rsid w:val="00394238"/>
    <w:rsid w:val="003A4122"/>
    <w:rsid w:val="003A6A8B"/>
    <w:rsid w:val="003B20D6"/>
    <w:rsid w:val="003B3F10"/>
    <w:rsid w:val="003B407A"/>
    <w:rsid w:val="003B4137"/>
    <w:rsid w:val="003B4F52"/>
    <w:rsid w:val="003B775E"/>
    <w:rsid w:val="003B7841"/>
    <w:rsid w:val="003C37B3"/>
    <w:rsid w:val="003C6179"/>
    <w:rsid w:val="003C6229"/>
    <w:rsid w:val="003D02B9"/>
    <w:rsid w:val="003D34AF"/>
    <w:rsid w:val="003D7289"/>
    <w:rsid w:val="003E19F5"/>
    <w:rsid w:val="003E433C"/>
    <w:rsid w:val="003E6ACB"/>
    <w:rsid w:val="003F00E9"/>
    <w:rsid w:val="003F42AB"/>
    <w:rsid w:val="003F7BDA"/>
    <w:rsid w:val="004046FE"/>
    <w:rsid w:val="004139F7"/>
    <w:rsid w:val="00414697"/>
    <w:rsid w:val="004164AC"/>
    <w:rsid w:val="004208E0"/>
    <w:rsid w:val="00420BC8"/>
    <w:rsid w:val="00425BA0"/>
    <w:rsid w:val="004276B4"/>
    <w:rsid w:val="00434C72"/>
    <w:rsid w:val="004356D9"/>
    <w:rsid w:val="00435983"/>
    <w:rsid w:val="00435CD0"/>
    <w:rsid w:val="00436A39"/>
    <w:rsid w:val="00437766"/>
    <w:rsid w:val="00440B63"/>
    <w:rsid w:val="00442EF5"/>
    <w:rsid w:val="0044372C"/>
    <w:rsid w:val="00443865"/>
    <w:rsid w:val="00444AEF"/>
    <w:rsid w:val="004502BD"/>
    <w:rsid w:val="00451E28"/>
    <w:rsid w:val="00452165"/>
    <w:rsid w:val="004534F3"/>
    <w:rsid w:val="00454243"/>
    <w:rsid w:val="00461481"/>
    <w:rsid w:val="004624B1"/>
    <w:rsid w:val="00472F01"/>
    <w:rsid w:val="00472F76"/>
    <w:rsid w:val="00473A27"/>
    <w:rsid w:val="004746DC"/>
    <w:rsid w:val="0048640E"/>
    <w:rsid w:val="00487249"/>
    <w:rsid w:val="004911C9"/>
    <w:rsid w:val="004918C8"/>
    <w:rsid w:val="00496205"/>
    <w:rsid w:val="00497DC6"/>
    <w:rsid w:val="004A27BE"/>
    <w:rsid w:val="004A4EF3"/>
    <w:rsid w:val="004A7392"/>
    <w:rsid w:val="004B0D52"/>
    <w:rsid w:val="004B1920"/>
    <w:rsid w:val="004B3CB6"/>
    <w:rsid w:val="004B6D95"/>
    <w:rsid w:val="004C0DA1"/>
    <w:rsid w:val="004C1AFA"/>
    <w:rsid w:val="004C28C8"/>
    <w:rsid w:val="004C7108"/>
    <w:rsid w:val="004D0360"/>
    <w:rsid w:val="004D0C61"/>
    <w:rsid w:val="004D2B4C"/>
    <w:rsid w:val="004D7E2A"/>
    <w:rsid w:val="004E1986"/>
    <w:rsid w:val="004E2FFE"/>
    <w:rsid w:val="004E72B2"/>
    <w:rsid w:val="004F029A"/>
    <w:rsid w:val="004F0DF2"/>
    <w:rsid w:val="004F186D"/>
    <w:rsid w:val="004F676C"/>
    <w:rsid w:val="00505E04"/>
    <w:rsid w:val="00506233"/>
    <w:rsid w:val="00506669"/>
    <w:rsid w:val="0050702B"/>
    <w:rsid w:val="0051035F"/>
    <w:rsid w:val="00510364"/>
    <w:rsid w:val="00511A25"/>
    <w:rsid w:val="005134E7"/>
    <w:rsid w:val="00521948"/>
    <w:rsid w:val="0052275F"/>
    <w:rsid w:val="005231B1"/>
    <w:rsid w:val="00526F5F"/>
    <w:rsid w:val="00533CCA"/>
    <w:rsid w:val="00534450"/>
    <w:rsid w:val="00540B75"/>
    <w:rsid w:val="005422B2"/>
    <w:rsid w:val="00545127"/>
    <w:rsid w:val="00546ECF"/>
    <w:rsid w:val="00550FFD"/>
    <w:rsid w:val="0055168C"/>
    <w:rsid w:val="005612BC"/>
    <w:rsid w:val="0056161C"/>
    <w:rsid w:val="005622E7"/>
    <w:rsid w:val="005636A2"/>
    <w:rsid w:val="00563C09"/>
    <w:rsid w:val="00564D76"/>
    <w:rsid w:val="005667F1"/>
    <w:rsid w:val="00571030"/>
    <w:rsid w:val="00571DB5"/>
    <w:rsid w:val="00574D38"/>
    <w:rsid w:val="0057719A"/>
    <w:rsid w:val="0058059B"/>
    <w:rsid w:val="00582A28"/>
    <w:rsid w:val="00582F4E"/>
    <w:rsid w:val="005860E9"/>
    <w:rsid w:val="005924B2"/>
    <w:rsid w:val="0059442B"/>
    <w:rsid w:val="00594D6C"/>
    <w:rsid w:val="0059639C"/>
    <w:rsid w:val="005A21CF"/>
    <w:rsid w:val="005A3895"/>
    <w:rsid w:val="005A76DF"/>
    <w:rsid w:val="005A7B6E"/>
    <w:rsid w:val="005B1270"/>
    <w:rsid w:val="005B27C5"/>
    <w:rsid w:val="005B290B"/>
    <w:rsid w:val="005B623F"/>
    <w:rsid w:val="005C2BA8"/>
    <w:rsid w:val="005C3261"/>
    <w:rsid w:val="005C7389"/>
    <w:rsid w:val="005D1BA4"/>
    <w:rsid w:val="005D4E7C"/>
    <w:rsid w:val="005E4CCC"/>
    <w:rsid w:val="005E577A"/>
    <w:rsid w:val="005E65EA"/>
    <w:rsid w:val="005F2376"/>
    <w:rsid w:val="005F6426"/>
    <w:rsid w:val="00600610"/>
    <w:rsid w:val="0060233E"/>
    <w:rsid w:val="00604B92"/>
    <w:rsid w:val="00604D96"/>
    <w:rsid w:val="00606FF4"/>
    <w:rsid w:val="006121FC"/>
    <w:rsid w:val="00621FBF"/>
    <w:rsid w:val="00622300"/>
    <w:rsid w:val="00622DBD"/>
    <w:rsid w:val="00626B1E"/>
    <w:rsid w:val="00627A48"/>
    <w:rsid w:val="0063283D"/>
    <w:rsid w:val="006433AB"/>
    <w:rsid w:val="006444A4"/>
    <w:rsid w:val="00645A62"/>
    <w:rsid w:val="006476A1"/>
    <w:rsid w:val="00651891"/>
    <w:rsid w:val="00651BFD"/>
    <w:rsid w:val="00652359"/>
    <w:rsid w:val="006551BC"/>
    <w:rsid w:val="00655517"/>
    <w:rsid w:val="006566B5"/>
    <w:rsid w:val="00656CF4"/>
    <w:rsid w:val="00657AA8"/>
    <w:rsid w:val="0066007C"/>
    <w:rsid w:val="00661890"/>
    <w:rsid w:val="006621A0"/>
    <w:rsid w:val="00662712"/>
    <w:rsid w:val="006649E6"/>
    <w:rsid w:val="00664D1E"/>
    <w:rsid w:val="00664E32"/>
    <w:rsid w:val="00667269"/>
    <w:rsid w:val="00667F27"/>
    <w:rsid w:val="006721D8"/>
    <w:rsid w:val="006806D7"/>
    <w:rsid w:val="0068122C"/>
    <w:rsid w:val="00691634"/>
    <w:rsid w:val="0069185C"/>
    <w:rsid w:val="00691E27"/>
    <w:rsid w:val="0069297A"/>
    <w:rsid w:val="00692CA5"/>
    <w:rsid w:val="006A0C1A"/>
    <w:rsid w:val="006A2DA6"/>
    <w:rsid w:val="006A5220"/>
    <w:rsid w:val="006A5AE6"/>
    <w:rsid w:val="006A7E4B"/>
    <w:rsid w:val="006B064C"/>
    <w:rsid w:val="006B15E7"/>
    <w:rsid w:val="006B3EAB"/>
    <w:rsid w:val="006C41AA"/>
    <w:rsid w:val="006C4796"/>
    <w:rsid w:val="006C674A"/>
    <w:rsid w:val="006D325E"/>
    <w:rsid w:val="006D40A0"/>
    <w:rsid w:val="006D5218"/>
    <w:rsid w:val="006E08FD"/>
    <w:rsid w:val="006E4B40"/>
    <w:rsid w:val="006F0735"/>
    <w:rsid w:val="006F10DE"/>
    <w:rsid w:val="0070226F"/>
    <w:rsid w:val="00702508"/>
    <w:rsid w:val="00707E43"/>
    <w:rsid w:val="0071064E"/>
    <w:rsid w:val="0071235E"/>
    <w:rsid w:val="00715B8B"/>
    <w:rsid w:val="00717720"/>
    <w:rsid w:val="00717FAE"/>
    <w:rsid w:val="007204B4"/>
    <w:rsid w:val="00721D40"/>
    <w:rsid w:val="00721EED"/>
    <w:rsid w:val="007235D4"/>
    <w:rsid w:val="00725AA9"/>
    <w:rsid w:val="007305F5"/>
    <w:rsid w:val="007306A9"/>
    <w:rsid w:val="0073432F"/>
    <w:rsid w:val="007378AC"/>
    <w:rsid w:val="007410E2"/>
    <w:rsid w:val="00741973"/>
    <w:rsid w:val="00744D4D"/>
    <w:rsid w:val="00747870"/>
    <w:rsid w:val="007538B5"/>
    <w:rsid w:val="0076658C"/>
    <w:rsid w:val="00772760"/>
    <w:rsid w:val="00780D2E"/>
    <w:rsid w:val="00783341"/>
    <w:rsid w:val="00783442"/>
    <w:rsid w:val="0078439A"/>
    <w:rsid w:val="00785176"/>
    <w:rsid w:val="007868F3"/>
    <w:rsid w:val="00786D90"/>
    <w:rsid w:val="00791595"/>
    <w:rsid w:val="007915FF"/>
    <w:rsid w:val="00793FFC"/>
    <w:rsid w:val="0079643B"/>
    <w:rsid w:val="007A1797"/>
    <w:rsid w:val="007A39AE"/>
    <w:rsid w:val="007A4B8A"/>
    <w:rsid w:val="007A5C06"/>
    <w:rsid w:val="007A6455"/>
    <w:rsid w:val="007B029A"/>
    <w:rsid w:val="007B1749"/>
    <w:rsid w:val="007B306E"/>
    <w:rsid w:val="007B52D2"/>
    <w:rsid w:val="007B5691"/>
    <w:rsid w:val="007C086F"/>
    <w:rsid w:val="007C26F3"/>
    <w:rsid w:val="007C2722"/>
    <w:rsid w:val="007C28AA"/>
    <w:rsid w:val="007C28EF"/>
    <w:rsid w:val="007C436F"/>
    <w:rsid w:val="007C535A"/>
    <w:rsid w:val="007D0026"/>
    <w:rsid w:val="007D2B0A"/>
    <w:rsid w:val="007D2D28"/>
    <w:rsid w:val="007D748C"/>
    <w:rsid w:val="007E3068"/>
    <w:rsid w:val="007E4DD9"/>
    <w:rsid w:val="007F2289"/>
    <w:rsid w:val="007F65E2"/>
    <w:rsid w:val="0080335D"/>
    <w:rsid w:val="0080347D"/>
    <w:rsid w:val="00804CAD"/>
    <w:rsid w:val="00805399"/>
    <w:rsid w:val="00813B49"/>
    <w:rsid w:val="008142AF"/>
    <w:rsid w:val="00816037"/>
    <w:rsid w:val="00822C35"/>
    <w:rsid w:val="00826E72"/>
    <w:rsid w:val="00833D20"/>
    <w:rsid w:val="00833F83"/>
    <w:rsid w:val="00841C18"/>
    <w:rsid w:val="00843037"/>
    <w:rsid w:val="00853E51"/>
    <w:rsid w:val="008571CE"/>
    <w:rsid w:val="00861721"/>
    <w:rsid w:val="00861C50"/>
    <w:rsid w:val="008747BD"/>
    <w:rsid w:val="008750C5"/>
    <w:rsid w:val="00875B28"/>
    <w:rsid w:val="00876C45"/>
    <w:rsid w:val="00890988"/>
    <w:rsid w:val="008922A0"/>
    <w:rsid w:val="00894317"/>
    <w:rsid w:val="008945CD"/>
    <w:rsid w:val="00894A2E"/>
    <w:rsid w:val="008A2A0A"/>
    <w:rsid w:val="008A33C2"/>
    <w:rsid w:val="008A5412"/>
    <w:rsid w:val="008A5D01"/>
    <w:rsid w:val="008A7CCC"/>
    <w:rsid w:val="008B04FF"/>
    <w:rsid w:val="008B055C"/>
    <w:rsid w:val="008B14C2"/>
    <w:rsid w:val="008B26A2"/>
    <w:rsid w:val="008B3396"/>
    <w:rsid w:val="008B699C"/>
    <w:rsid w:val="008B6F98"/>
    <w:rsid w:val="008B797E"/>
    <w:rsid w:val="008B7ADF"/>
    <w:rsid w:val="008C0E84"/>
    <w:rsid w:val="008C4D20"/>
    <w:rsid w:val="008C5795"/>
    <w:rsid w:val="008C64D7"/>
    <w:rsid w:val="008C6C1B"/>
    <w:rsid w:val="008C708A"/>
    <w:rsid w:val="008C7C91"/>
    <w:rsid w:val="008D04D4"/>
    <w:rsid w:val="008D12ED"/>
    <w:rsid w:val="008D1D44"/>
    <w:rsid w:val="008D4DDF"/>
    <w:rsid w:val="008D4EA6"/>
    <w:rsid w:val="008D57DA"/>
    <w:rsid w:val="008E0573"/>
    <w:rsid w:val="008E3B71"/>
    <w:rsid w:val="008E5952"/>
    <w:rsid w:val="008E59FB"/>
    <w:rsid w:val="008F0A68"/>
    <w:rsid w:val="008F3658"/>
    <w:rsid w:val="008F44F8"/>
    <w:rsid w:val="008F4FF6"/>
    <w:rsid w:val="0090077B"/>
    <w:rsid w:val="00902CEC"/>
    <w:rsid w:val="00903419"/>
    <w:rsid w:val="00904D33"/>
    <w:rsid w:val="00905720"/>
    <w:rsid w:val="00905DEF"/>
    <w:rsid w:val="00906D2C"/>
    <w:rsid w:val="009123B8"/>
    <w:rsid w:val="00915C86"/>
    <w:rsid w:val="0092003E"/>
    <w:rsid w:val="009200B4"/>
    <w:rsid w:val="00923A66"/>
    <w:rsid w:val="00924F66"/>
    <w:rsid w:val="00927EB3"/>
    <w:rsid w:val="00940DA5"/>
    <w:rsid w:val="00944BDE"/>
    <w:rsid w:val="00944F04"/>
    <w:rsid w:val="0094784D"/>
    <w:rsid w:val="00950909"/>
    <w:rsid w:val="00950D35"/>
    <w:rsid w:val="0095331D"/>
    <w:rsid w:val="00954084"/>
    <w:rsid w:val="009578E1"/>
    <w:rsid w:val="009614AD"/>
    <w:rsid w:val="00963555"/>
    <w:rsid w:val="009649CC"/>
    <w:rsid w:val="009655E5"/>
    <w:rsid w:val="00965F19"/>
    <w:rsid w:val="009723BD"/>
    <w:rsid w:val="009739D2"/>
    <w:rsid w:val="00974999"/>
    <w:rsid w:val="00974DE5"/>
    <w:rsid w:val="00981278"/>
    <w:rsid w:val="00981673"/>
    <w:rsid w:val="009831ED"/>
    <w:rsid w:val="00983811"/>
    <w:rsid w:val="00983DA8"/>
    <w:rsid w:val="00986A90"/>
    <w:rsid w:val="0099067A"/>
    <w:rsid w:val="009907CF"/>
    <w:rsid w:val="009A5F8A"/>
    <w:rsid w:val="009A62E4"/>
    <w:rsid w:val="009A67EA"/>
    <w:rsid w:val="009B39E4"/>
    <w:rsid w:val="009C390F"/>
    <w:rsid w:val="009C67CD"/>
    <w:rsid w:val="009C68C2"/>
    <w:rsid w:val="009C6CFA"/>
    <w:rsid w:val="009D3750"/>
    <w:rsid w:val="009D37FE"/>
    <w:rsid w:val="009D3CF1"/>
    <w:rsid w:val="009D3E71"/>
    <w:rsid w:val="009D475B"/>
    <w:rsid w:val="009D664A"/>
    <w:rsid w:val="009D69C6"/>
    <w:rsid w:val="009D7E58"/>
    <w:rsid w:val="009E66E9"/>
    <w:rsid w:val="009F1AEB"/>
    <w:rsid w:val="009F271C"/>
    <w:rsid w:val="009F6D06"/>
    <w:rsid w:val="00A00B85"/>
    <w:rsid w:val="00A05879"/>
    <w:rsid w:val="00A0604C"/>
    <w:rsid w:val="00A06433"/>
    <w:rsid w:val="00A17249"/>
    <w:rsid w:val="00A2129C"/>
    <w:rsid w:val="00A24A28"/>
    <w:rsid w:val="00A25D32"/>
    <w:rsid w:val="00A26F7E"/>
    <w:rsid w:val="00A30E95"/>
    <w:rsid w:val="00A31ABE"/>
    <w:rsid w:val="00A33C6E"/>
    <w:rsid w:val="00A4004A"/>
    <w:rsid w:val="00A43849"/>
    <w:rsid w:val="00A453AC"/>
    <w:rsid w:val="00A477BA"/>
    <w:rsid w:val="00A50369"/>
    <w:rsid w:val="00A511CB"/>
    <w:rsid w:val="00A54884"/>
    <w:rsid w:val="00A54FE8"/>
    <w:rsid w:val="00A57317"/>
    <w:rsid w:val="00A614B3"/>
    <w:rsid w:val="00A72D6F"/>
    <w:rsid w:val="00A73FD1"/>
    <w:rsid w:val="00A75112"/>
    <w:rsid w:val="00A75FE9"/>
    <w:rsid w:val="00A84CA0"/>
    <w:rsid w:val="00A92FF0"/>
    <w:rsid w:val="00A94B05"/>
    <w:rsid w:val="00A94F68"/>
    <w:rsid w:val="00A95D21"/>
    <w:rsid w:val="00AA21C8"/>
    <w:rsid w:val="00AA31A4"/>
    <w:rsid w:val="00AA3B6A"/>
    <w:rsid w:val="00AA4972"/>
    <w:rsid w:val="00AA6A47"/>
    <w:rsid w:val="00AB2367"/>
    <w:rsid w:val="00AC465A"/>
    <w:rsid w:val="00AC4E17"/>
    <w:rsid w:val="00AC587A"/>
    <w:rsid w:val="00AD4392"/>
    <w:rsid w:val="00AD481E"/>
    <w:rsid w:val="00AD671D"/>
    <w:rsid w:val="00AD6D37"/>
    <w:rsid w:val="00AE0D53"/>
    <w:rsid w:val="00AE1436"/>
    <w:rsid w:val="00AE1F31"/>
    <w:rsid w:val="00AE2AAD"/>
    <w:rsid w:val="00AE4A2B"/>
    <w:rsid w:val="00AE6C68"/>
    <w:rsid w:val="00AF13B8"/>
    <w:rsid w:val="00AF36A5"/>
    <w:rsid w:val="00B007F3"/>
    <w:rsid w:val="00B15FA9"/>
    <w:rsid w:val="00B21CD0"/>
    <w:rsid w:val="00B220B4"/>
    <w:rsid w:val="00B32E51"/>
    <w:rsid w:val="00B336AD"/>
    <w:rsid w:val="00B3434C"/>
    <w:rsid w:val="00B34F27"/>
    <w:rsid w:val="00B3557A"/>
    <w:rsid w:val="00B366A8"/>
    <w:rsid w:val="00B37AC7"/>
    <w:rsid w:val="00B41C21"/>
    <w:rsid w:val="00B4302D"/>
    <w:rsid w:val="00B43297"/>
    <w:rsid w:val="00B44E86"/>
    <w:rsid w:val="00B47826"/>
    <w:rsid w:val="00B50A17"/>
    <w:rsid w:val="00B64C8C"/>
    <w:rsid w:val="00B64D5B"/>
    <w:rsid w:val="00B85EA1"/>
    <w:rsid w:val="00B90465"/>
    <w:rsid w:val="00B912B7"/>
    <w:rsid w:val="00B91F4D"/>
    <w:rsid w:val="00BA075B"/>
    <w:rsid w:val="00BA13FD"/>
    <w:rsid w:val="00BA3B47"/>
    <w:rsid w:val="00BA5FF7"/>
    <w:rsid w:val="00BA6AEE"/>
    <w:rsid w:val="00BB26A4"/>
    <w:rsid w:val="00BB34BE"/>
    <w:rsid w:val="00BC09F0"/>
    <w:rsid w:val="00BC206A"/>
    <w:rsid w:val="00BC491F"/>
    <w:rsid w:val="00BD17AB"/>
    <w:rsid w:val="00BD198E"/>
    <w:rsid w:val="00BD51C6"/>
    <w:rsid w:val="00BD58D1"/>
    <w:rsid w:val="00BD75E2"/>
    <w:rsid w:val="00BE1ADC"/>
    <w:rsid w:val="00BE2363"/>
    <w:rsid w:val="00BE3FC8"/>
    <w:rsid w:val="00BF16B9"/>
    <w:rsid w:val="00BF59AF"/>
    <w:rsid w:val="00C12EED"/>
    <w:rsid w:val="00C138BA"/>
    <w:rsid w:val="00C16408"/>
    <w:rsid w:val="00C17654"/>
    <w:rsid w:val="00C232EC"/>
    <w:rsid w:val="00C26DB7"/>
    <w:rsid w:val="00C278A8"/>
    <w:rsid w:val="00C307A5"/>
    <w:rsid w:val="00C326AC"/>
    <w:rsid w:val="00C337BC"/>
    <w:rsid w:val="00C44900"/>
    <w:rsid w:val="00C470A0"/>
    <w:rsid w:val="00C53B60"/>
    <w:rsid w:val="00C55AB4"/>
    <w:rsid w:val="00C56FAE"/>
    <w:rsid w:val="00C575FA"/>
    <w:rsid w:val="00C620AF"/>
    <w:rsid w:val="00C63623"/>
    <w:rsid w:val="00C65657"/>
    <w:rsid w:val="00C65F50"/>
    <w:rsid w:val="00C67CD5"/>
    <w:rsid w:val="00C71052"/>
    <w:rsid w:val="00C72E88"/>
    <w:rsid w:val="00C754A8"/>
    <w:rsid w:val="00C76317"/>
    <w:rsid w:val="00C7728B"/>
    <w:rsid w:val="00C827FA"/>
    <w:rsid w:val="00C83082"/>
    <w:rsid w:val="00C902CD"/>
    <w:rsid w:val="00C90E3E"/>
    <w:rsid w:val="00C950ED"/>
    <w:rsid w:val="00C9578C"/>
    <w:rsid w:val="00CA0DB2"/>
    <w:rsid w:val="00CA0DF8"/>
    <w:rsid w:val="00CA293E"/>
    <w:rsid w:val="00CB1AD1"/>
    <w:rsid w:val="00CB2002"/>
    <w:rsid w:val="00CB220B"/>
    <w:rsid w:val="00CB2A42"/>
    <w:rsid w:val="00CB40F5"/>
    <w:rsid w:val="00CB410D"/>
    <w:rsid w:val="00CB5F4E"/>
    <w:rsid w:val="00CC27BB"/>
    <w:rsid w:val="00CC33C6"/>
    <w:rsid w:val="00CC670E"/>
    <w:rsid w:val="00CD09C1"/>
    <w:rsid w:val="00CD5568"/>
    <w:rsid w:val="00CD6952"/>
    <w:rsid w:val="00CE0E1C"/>
    <w:rsid w:val="00CE4028"/>
    <w:rsid w:val="00CE49C5"/>
    <w:rsid w:val="00CF2FF8"/>
    <w:rsid w:val="00CF481B"/>
    <w:rsid w:val="00CF5140"/>
    <w:rsid w:val="00CF5878"/>
    <w:rsid w:val="00CF58F3"/>
    <w:rsid w:val="00CF6D97"/>
    <w:rsid w:val="00D0079C"/>
    <w:rsid w:val="00D02ED3"/>
    <w:rsid w:val="00D04AC6"/>
    <w:rsid w:val="00D04FAC"/>
    <w:rsid w:val="00D0673B"/>
    <w:rsid w:val="00D150E8"/>
    <w:rsid w:val="00D15D21"/>
    <w:rsid w:val="00D16239"/>
    <w:rsid w:val="00D16D40"/>
    <w:rsid w:val="00D2163D"/>
    <w:rsid w:val="00D24D61"/>
    <w:rsid w:val="00D254A9"/>
    <w:rsid w:val="00D31350"/>
    <w:rsid w:val="00D3216B"/>
    <w:rsid w:val="00D35265"/>
    <w:rsid w:val="00D40821"/>
    <w:rsid w:val="00D453A4"/>
    <w:rsid w:val="00D4769A"/>
    <w:rsid w:val="00D5008C"/>
    <w:rsid w:val="00D509B6"/>
    <w:rsid w:val="00D52AE2"/>
    <w:rsid w:val="00D5395E"/>
    <w:rsid w:val="00D56406"/>
    <w:rsid w:val="00D5751A"/>
    <w:rsid w:val="00D57FE8"/>
    <w:rsid w:val="00D60DAF"/>
    <w:rsid w:val="00D65B03"/>
    <w:rsid w:val="00D66471"/>
    <w:rsid w:val="00D707A6"/>
    <w:rsid w:val="00D72696"/>
    <w:rsid w:val="00D7389F"/>
    <w:rsid w:val="00D75FD9"/>
    <w:rsid w:val="00D8175A"/>
    <w:rsid w:val="00D82A6B"/>
    <w:rsid w:val="00D86A8B"/>
    <w:rsid w:val="00D91C76"/>
    <w:rsid w:val="00D9219E"/>
    <w:rsid w:val="00D92A88"/>
    <w:rsid w:val="00D92CF8"/>
    <w:rsid w:val="00D92FD6"/>
    <w:rsid w:val="00DA0485"/>
    <w:rsid w:val="00DA6AAB"/>
    <w:rsid w:val="00DB2D53"/>
    <w:rsid w:val="00DB34F4"/>
    <w:rsid w:val="00DB52EC"/>
    <w:rsid w:val="00DB610D"/>
    <w:rsid w:val="00DC00E9"/>
    <w:rsid w:val="00DC1D1C"/>
    <w:rsid w:val="00DC65EF"/>
    <w:rsid w:val="00DC767A"/>
    <w:rsid w:val="00DD132F"/>
    <w:rsid w:val="00DD1BEF"/>
    <w:rsid w:val="00DD3E66"/>
    <w:rsid w:val="00DD6A35"/>
    <w:rsid w:val="00DE2D67"/>
    <w:rsid w:val="00DF0431"/>
    <w:rsid w:val="00DF1C08"/>
    <w:rsid w:val="00DF3DED"/>
    <w:rsid w:val="00DF5BDE"/>
    <w:rsid w:val="00DF5F4A"/>
    <w:rsid w:val="00E017AE"/>
    <w:rsid w:val="00E021AC"/>
    <w:rsid w:val="00E026C5"/>
    <w:rsid w:val="00E05C0A"/>
    <w:rsid w:val="00E11530"/>
    <w:rsid w:val="00E13772"/>
    <w:rsid w:val="00E178B8"/>
    <w:rsid w:val="00E17F24"/>
    <w:rsid w:val="00E203D4"/>
    <w:rsid w:val="00E2354E"/>
    <w:rsid w:val="00E24336"/>
    <w:rsid w:val="00E27064"/>
    <w:rsid w:val="00E27613"/>
    <w:rsid w:val="00E3138B"/>
    <w:rsid w:val="00E322B4"/>
    <w:rsid w:val="00E34A8F"/>
    <w:rsid w:val="00E35E0F"/>
    <w:rsid w:val="00E4072D"/>
    <w:rsid w:val="00E408BB"/>
    <w:rsid w:val="00E40EE5"/>
    <w:rsid w:val="00E417C3"/>
    <w:rsid w:val="00E424D2"/>
    <w:rsid w:val="00E432C7"/>
    <w:rsid w:val="00E43AFB"/>
    <w:rsid w:val="00E44133"/>
    <w:rsid w:val="00E475F7"/>
    <w:rsid w:val="00E5002C"/>
    <w:rsid w:val="00E50632"/>
    <w:rsid w:val="00E54236"/>
    <w:rsid w:val="00E652F1"/>
    <w:rsid w:val="00E65A01"/>
    <w:rsid w:val="00E74EA9"/>
    <w:rsid w:val="00E77A70"/>
    <w:rsid w:val="00E80B2E"/>
    <w:rsid w:val="00E80FAF"/>
    <w:rsid w:val="00E8105F"/>
    <w:rsid w:val="00E833A3"/>
    <w:rsid w:val="00E853B9"/>
    <w:rsid w:val="00E8717F"/>
    <w:rsid w:val="00E91892"/>
    <w:rsid w:val="00E97026"/>
    <w:rsid w:val="00EA46C8"/>
    <w:rsid w:val="00EB0901"/>
    <w:rsid w:val="00EB11CC"/>
    <w:rsid w:val="00EB2D96"/>
    <w:rsid w:val="00EB5DEF"/>
    <w:rsid w:val="00EB766A"/>
    <w:rsid w:val="00EC1487"/>
    <w:rsid w:val="00EC2EDD"/>
    <w:rsid w:val="00EC5BFB"/>
    <w:rsid w:val="00ED2B07"/>
    <w:rsid w:val="00ED3B3D"/>
    <w:rsid w:val="00EE541F"/>
    <w:rsid w:val="00EE5C2C"/>
    <w:rsid w:val="00EF2638"/>
    <w:rsid w:val="00EF295F"/>
    <w:rsid w:val="00F05B74"/>
    <w:rsid w:val="00F06D88"/>
    <w:rsid w:val="00F210F3"/>
    <w:rsid w:val="00F27F92"/>
    <w:rsid w:val="00F30539"/>
    <w:rsid w:val="00F3074D"/>
    <w:rsid w:val="00F30E89"/>
    <w:rsid w:val="00F31814"/>
    <w:rsid w:val="00F32645"/>
    <w:rsid w:val="00F359C9"/>
    <w:rsid w:val="00F35E1F"/>
    <w:rsid w:val="00F3682C"/>
    <w:rsid w:val="00F40DC7"/>
    <w:rsid w:val="00F450F8"/>
    <w:rsid w:val="00F51846"/>
    <w:rsid w:val="00F55841"/>
    <w:rsid w:val="00F57676"/>
    <w:rsid w:val="00F60B48"/>
    <w:rsid w:val="00F664C4"/>
    <w:rsid w:val="00F70CA2"/>
    <w:rsid w:val="00F7320B"/>
    <w:rsid w:val="00F77C49"/>
    <w:rsid w:val="00F83C35"/>
    <w:rsid w:val="00F95772"/>
    <w:rsid w:val="00FA05F1"/>
    <w:rsid w:val="00FA08ED"/>
    <w:rsid w:val="00FA1085"/>
    <w:rsid w:val="00FA2C0F"/>
    <w:rsid w:val="00FA3E68"/>
    <w:rsid w:val="00FA4BC5"/>
    <w:rsid w:val="00FA686F"/>
    <w:rsid w:val="00FB022C"/>
    <w:rsid w:val="00FB103F"/>
    <w:rsid w:val="00FB16BA"/>
    <w:rsid w:val="00FB2399"/>
    <w:rsid w:val="00FB66C6"/>
    <w:rsid w:val="00FC4AAE"/>
    <w:rsid w:val="00FC767A"/>
    <w:rsid w:val="00FD52D7"/>
    <w:rsid w:val="00FE020E"/>
    <w:rsid w:val="00FE0874"/>
    <w:rsid w:val="00FE0E0F"/>
    <w:rsid w:val="00FE3919"/>
    <w:rsid w:val="00FF0E5D"/>
    <w:rsid w:val="00FF2E70"/>
    <w:rsid w:val="00FF4512"/>
    <w:rsid w:val="00FF61F6"/>
    <w:rsid w:val="012D635B"/>
    <w:rsid w:val="01461675"/>
    <w:rsid w:val="03824776"/>
    <w:rsid w:val="060E717E"/>
    <w:rsid w:val="069A088B"/>
    <w:rsid w:val="09CE6F38"/>
    <w:rsid w:val="09F37D7B"/>
    <w:rsid w:val="0ACE5853"/>
    <w:rsid w:val="0DDE4E3E"/>
    <w:rsid w:val="12A61BB6"/>
    <w:rsid w:val="165D19FF"/>
    <w:rsid w:val="16AA2B69"/>
    <w:rsid w:val="172D08CB"/>
    <w:rsid w:val="17EE5516"/>
    <w:rsid w:val="180A5D70"/>
    <w:rsid w:val="1A2076EB"/>
    <w:rsid w:val="1C5F2B3B"/>
    <w:rsid w:val="1F717E83"/>
    <w:rsid w:val="24B709AF"/>
    <w:rsid w:val="24F971E8"/>
    <w:rsid w:val="257E37EF"/>
    <w:rsid w:val="2680441E"/>
    <w:rsid w:val="2866314B"/>
    <w:rsid w:val="2CFE23C6"/>
    <w:rsid w:val="2DCF2922"/>
    <w:rsid w:val="2F086601"/>
    <w:rsid w:val="322B3D93"/>
    <w:rsid w:val="3249230C"/>
    <w:rsid w:val="336938DA"/>
    <w:rsid w:val="37385216"/>
    <w:rsid w:val="3A243A1B"/>
    <w:rsid w:val="3F660D34"/>
    <w:rsid w:val="42B723A5"/>
    <w:rsid w:val="4352714B"/>
    <w:rsid w:val="43C42157"/>
    <w:rsid w:val="45E536EA"/>
    <w:rsid w:val="49B44B6D"/>
    <w:rsid w:val="4BB23005"/>
    <w:rsid w:val="4CE67F8F"/>
    <w:rsid w:val="4DD028AB"/>
    <w:rsid w:val="4FD20C86"/>
    <w:rsid w:val="4FFA0A1A"/>
    <w:rsid w:val="54100C8C"/>
    <w:rsid w:val="541B1F58"/>
    <w:rsid w:val="56B41354"/>
    <w:rsid w:val="5E0261DD"/>
    <w:rsid w:val="5ECE42F0"/>
    <w:rsid w:val="67F0235F"/>
    <w:rsid w:val="690D1846"/>
    <w:rsid w:val="721F0CFC"/>
    <w:rsid w:val="778C2165"/>
    <w:rsid w:val="79A719FC"/>
    <w:rsid w:val="7A096946"/>
    <w:rsid w:val="7A5613C3"/>
    <w:rsid w:val="7B282BCC"/>
    <w:rsid w:val="7D1C7E3F"/>
    <w:rsid w:val="7DE954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2"/>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26"/>
    <w:qFormat/>
    <w:uiPriority w:val="0"/>
    <w:pPr>
      <w:spacing w:line="620" w:lineRule="exact"/>
      <w:jc w:val="center"/>
    </w:pPr>
    <w:rPr>
      <w:rFonts w:ascii="Times New Roman" w:hAnsi="Times New Roman"/>
      <w:b/>
      <w:bCs/>
      <w:sz w:val="44"/>
    </w:rPr>
  </w:style>
  <w:style w:type="paragraph" w:styleId="4">
    <w:name w:val="Date"/>
    <w:basedOn w:val="1"/>
    <w:next w:val="1"/>
    <w:link w:val="20"/>
    <w:unhideWhenUsed/>
    <w:qFormat/>
    <w:uiPriority w:val="0"/>
    <w:pPr>
      <w:ind w:left="100" w:leftChars="2500"/>
    </w:pPr>
  </w:style>
  <w:style w:type="paragraph" w:styleId="5">
    <w:name w:val="Balloon Text"/>
    <w:basedOn w:val="1"/>
    <w:link w:val="21"/>
    <w:unhideWhenUsed/>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link w:val="29"/>
    <w:qFormat/>
    <w:locked/>
    <w:uiPriority w:val="0"/>
    <w:pPr>
      <w:spacing w:before="240" w:after="120" w:line="740" w:lineRule="exact"/>
      <w:jc w:val="center"/>
      <w:outlineLvl w:val="0"/>
    </w:pPr>
    <w:rPr>
      <w:rFonts w:ascii="等线 Light" w:hAnsi="等线 Light" w:eastAsia="方正小标宋简体"/>
      <w:b/>
      <w:bCs/>
      <w:sz w:val="44"/>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locked/>
    <w:uiPriority w:val="22"/>
    <w:rPr>
      <w:b/>
      <w:bCs/>
    </w:rPr>
  </w:style>
  <w:style w:type="character" w:styleId="14">
    <w:name w:val="page number"/>
    <w:basedOn w:val="12"/>
    <w:qFormat/>
    <w:uiPriority w:val="99"/>
    <w:rPr>
      <w:rFonts w:cs="Times New Roman"/>
    </w:rPr>
  </w:style>
  <w:style w:type="character" w:styleId="15">
    <w:name w:val="Hyperlink"/>
    <w:qFormat/>
    <w:uiPriority w:val="0"/>
    <w:rPr>
      <w:color w:val="0000FF"/>
      <w:u w:val="single"/>
    </w:rPr>
  </w:style>
  <w:style w:type="character" w:customStyle="1" w:styleId="16">
    <w:name w:val="font01"/>
    <w:basedOn w:val="12"/>
    <w:qFormat/>
    <w:uiPriority w:val="0"/>
    <w:rPr>
      <w:rFonts w:ascii="宋体" w:hAnsi="宋体" w:eastAsia="宋体" w:cs="宋体"/>
      <w:color w:val="000000"/>
      <w:sz w:val="28"/>
      <w:szCs w:val="28"/>
      <w:u w:val="none"/>
    </w:rPr>
  </w:style>
  <w:style w:type="character" w:customStyle="1" w:styleId="17">
    <w:name w:val="font11"/>
    <w:basedOn w:val="12"/>
    <w:qFormat/>
    <w:uiPriority w:val="0"/>
    <w:rPr>
      <w:rFonts w:ascii="Calibri" w:hAnsi="Calibri" w:cs="Calibri"/>
      <w:color w:val="000000"/>
      <w:sz w:val="28"/>
      <w:szCs w:val="28"/>
      <w:u w:val="none"/>
    </w:rPr>
  </w:style>
  <w:style w:type="character" w:customStyle="1" w:styleId="18">
    <w:name w:val="页脚 Char"/>
    <w:basedOn w:val="12"/>
    <w:link w:val="6"/>
    <w:qFormat/>
    <w:uiPriority w:val="99"/>
    <w:rPr>
      <w:rFonts w:ascii="Calibri" w:hAnsi="Calibri"/>
      <w:sz w:val="18"/>
      <w:szCs w:val="18"/>
    </w:rPr>
  </w:style>
  <w:style w:type="character" w:customStyle="1" w:styleId="19">
    <w:name w:val="页眉 Char"/>
    <w:basedOn w:val="12"/>
    <w:link w:val="7"/>
    <w:qFormat/>
    <w:uiPriority w:val="0"/>
    <w:rPr>
      <w:rFonts w:ascii="Calibri" w:hAnsi="Calibri"/>
      <w:sz w:val="18"/>
      <w:szCs w:val="18"/>
    </w:rPr>
  </w:style>
  <w:style w:type="character" w:customStyle="1" w:styleId="20">
    <w:name w:val="日期 Char"/>
    <w:basedOn w:val="12"/>
    <w:link w:val="4"/>
    <w:qFormat/>
    <w:uiPriority w:val="0"/>
    <w:rPr>
      <w:rFonts w:ascii="Calibri" w:hAnsi="Calibri"/>
      <w:kern w:val="2"/>
      <w:sz w:val="21"/>
      <w:szCs w:val="24"/>
    </w:rPr>
  </w:style>
  <w:style w:type="character" w:customStyle="1" w:styleId="21">
    <w:name w:val="批注框文本 Char"/>
    <w:basedOn w:val="12"/>
    <w:link w:val="5"/>
    <w:qFormat/>
    <w:uiPriority w:val="0"/>
    <w:rPr>
      <w:rFonts w:ascii="Calibri" w:hAnsi="Calibri"/>
      <w:kern w:val="2"/>
      <w:sz w:val="18"/>
      <w:szCs w:val="18"/>
    </w:rPr>
  </w:style>
  <w:style w:type="character" w:customStyle="1" w:styleId="22">
    <w:name w:val="标题 1 Char"/>
    <w:basedOn w:val="12"/>
    <w:link w:val="2"/>
    <w:qFormat/>
    <w:uiPriority w:val="9"/>
    <w:rPr>
      <w:rFonts w:ascii="宋体" w:hAnsi="宋体" w:cs="宋体"/>
      <w:b/>
      <w:bCs/>
      <w:kern w:val="36"/>
      <w:sz w:val="48"/>
      <w:szCs w:val="48"/>
    </w:rPr>
  </w:style>
  <w:style w:type="paragraph" w:styleId="23">
    <w:name w:val="List Paragraph"/>
    <w:basedOn w:val="1"/>
    <w:qFormat/>
    <w:uiPriority w:val="99"/>
    <w:pPr>
      <w:ind w:firstLine="420" w:firstLineChars="200"/>
    </w:pPr>
    <w:rPr>
      <w:rFonts w:asciiTheme="minorHAnsi" w:hAnsiTheme="minorHAnsi" w:eastAsiaTheme="minorEastAsia" w:cstheme="minorBidi"/>
      <w:szCs w:val="22"/>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25">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character" w:customStyle="1" w:styleId="26">
    <w:name w:val="正文文本 Char"/>
    <w:basedOn w:val="12"/>
    <w:link w:val="3"/>
    <w:qFormat/>
    <w:uiPriority w:val="0"/>
    <w:rPr>
      <w:b/>
      <w:bCs/>
      <w:kern w:val="2"/>
      <w:sz w:val="44"/>
      <w:szCs w:val="24"/>
    </w:rPr>
  </w:style>
  <w:style w:type="paragraph" w:styleId="27">
    <w:name w:val="No Spacing"/>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Char"/>
    <w:basedOn w:val="12"/>
    <w:link w:val="27"/>
    <w:qFormat/>
    <w:uiPriority w:val="1"/>
    <w:rPr>
      <w:rFonts w:asciiTheme="minorHAnsi" w:hAnsiTheme="minorHAnsi" w:eastAsiaTheme="minorEastAsia" w:cstheme="minorBidi"/>
      <w:sz w:val="22"/>
      <w:szCs w:val="22"/>
    </w:rPr>
  </w:style>
  <w:style w:type="character" w:customStyle="1" w:styleId="29">
    <w:name w:val="标题 Char"/>
    <w:basedOn w:val="12"/>
    <w:link w:val="9"/>
    <w:uiPriority w:val="0"/>
    <w:rPr>
      <w:rFonts w:ascii="等线 Light" w:hAnsi="等线 Light" w:eastAsia="方正小标宋简体"/>
      <w:b/>
      <w:bCs/>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69"/>
    <customShpInfo spid="_x0000_s1067"/>
    <customShpInfo spid="_x0000_s1068"/>
    <customShpInfo spid="_x0000_s1066"/>
    <customShpInfo spid="_x0000_s1065"/>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BD71-E965-4CAE-8163-25B12C7A57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20061</Words>
  <Characters>20728</Characters>
  <Lines>173</Lines>
  <Paragraphs>48</Paragraphs>
  <TotalTime>609</TotalTime>
  <ScaleCrop>false</ScaleCrop>
  <LinksUpToDate>false</LinksUpToDate>
  <CharactersWithSpaces>21331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2020-09-08T09:14:00Z</dcterms:created>
  <dc:creator>Administrator</dc:creator>
  <cp:lastModifiedBy>lenovo</cp:lastModifiedBy>
  <cp:lastPrinted>2023-11-06T07:37:26Z</cp:lastPrinted>
  <dcterms:modified xsi:type="dcterms:W3CDTF">2023-11-06T07:37:39Z</dcterms:modified>
  <dc:title>2018年湖北省市政工程建设优秀质量管理小组获奖名单</dc:title>
  <cp:revision>783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68B9DEECC02B430A9D07A19B712FD9F9</vt:lpwstr>
  </property>
</Properties>
</file>